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0"/>
        <w:tblW w:w="9356" w:type="dxa"/>
        <w:tblLayout w:type="fixed"/>
        <w:tblLook w:val="01E0" w:firstRow="1" w:lastRow="1" w:firstColumn="1" w:lastColumn="1" w:noHBand="0" w:noVBand="0"/>
      </w:tblPr>
      <w:tblGrid>
        <w:gridCol w:w="4678"/>
        <w:gridCol w:w="4678"/>
      </w:tblGrid>
      <w:tr w:rsidR="00033F04" w:rsidRPr="00CA1C61" w14:paraId="203E7663" w14:textId="77777777" w:rsidTr="00033F04">
        <w:trPr>
          <w:trHeight w:val="1795"/>
        </w:trPr>
        <w:tc>
          <w:tcPr>
            <w:tcW w:w="4678" w:type="dxa"/>
            <w:vAlign w:val="center"/>
          </w:tcPr>
          <w:p w14:paraId="3DDAC390" w14:textId="77777777" w:rsidR="00033F04" w:rsidRPr="00CA1C61" w:rsidRDefault="00D86A7B" w:rsidP="00033F04">
            <w:pPr>
              <w:spacing w:before="40"/>
            </w:pPr>
            <w:bookmarkStart w:id="0" w:name="_Toc529352242"/>
            <w:r w:rsidRPr="00CA1C61">
              <w:rPr>
                <w:noProof/>
              </w:rPr>
              <w:drawing>
                <wp:inline distT="0" distB="0" distL="0" distR="0" wp14:anchorId="5A7B8E45" wp14:editId="510DC6E8">
                  <wp:extent cx="2576195" cy="381635"/>
                  <wp:effectExtent l="0" t="0" r="0" b="0"/>
                  <wp:docPr id="1" name="Рисунок 1" descr="Лого р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р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1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14:paraId="0C8D3532" w14:textId="77777777" w:rsidR="00033F04" w:rsidRPr="00CA1C61" w:rsidRDefault="00033F04" w:rsidP="00033F04">
            <w:pPr>
              <w:spacing w:before="600"/>
              <w:rPr>
                <w:b/>
              </w:rPr>
            </w:pPr>
          </w:p>
        </w:tc>
      </w:tr>
    </w:tbl>
    <w:p w14:paraId="175088C9" w14:textId="77777777" w:rsidR="00F14F26" w:rsidRPr="00CA1C61" w:rsidRDefault="00F14F26" w:rsidP="00F14F26">
      <w:pPr>
        <w:rPr>
          <w:vanish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86"/>
        <w:gridCol w:w="4852"/>
      </w:tblGrid>
      <w:tr w:rsidR="001E6E3D" w:rsidRPr="00CA1C61" w14:paraId="585301FC" w14:textId="77777777" w:rsidTr="00985F68">
        <w:trPr>
          <w:trHeight w:val="1009"/>
        </w:trPr>
        <w:tc>
          <w:tcPr>
            <w:tcW w:w="4786" w:type="dxa"/>
          </w:tcPr>
          <w:p w14:paraId="079C522D" w14:textId="77777777" w:rsidR="001E6E3D" w:rsidRPr="00CA1C61" w:rsidRDefault="001E6E3D" w:rsidP="002D328B">
            <w:pPr>
              <w:pStyle w:val="21"/>
              <w:ind w:left="0"/>
              <w:jc w:val="right"/>
            </w:pPr>
          </w:p>
        </w:tc>
        <w:tc>
          <w:tcPr>
            <w:tcW w:w="4852" w:type="dxa"/>
          </w:tcPr>
          <w:p w14:paraId="130942F2" w14:textId="77777777" w:rsidR="001E6E3D" w:rsidRPr="00CA1C61" w:rsidRDefault="001E6E3D" w:rsidP="007B74AC">
            <w:pPr>
              <w:pStyle w:val="21"/>
              <w:ind w:left="0"/>
              <w:jc w:val="left"/>
              <w:rPr>
                <w:b/>
              </w:rPr>
            </w:pPr>
            <w:r w:rsidRPr="00CA1C61">
              <w:rPr>
                <w:b/>
              </w:rPr>
              <w:t>УТВЕРЖДЕНО</w:t>
            </w:r>
          </w:p>
          <w:p w14:paraId="6559F309" w14:textId="77777777" w:rsidR="001E6E3D" w:rsidRPr="00CA1C61" w:rsidRDefault="00331D7A" w:rsidP="007B74AC">
            <w:pPr>
              <w:pStyle w:val="21"/>
              <w:ind w:left="0"/>
              <w:jc w:val="left"/>
              <w:rPr>
                <w:b/>
              </w:rPr>
            </w:pPr>
            <w:r w:rsidRPr="00CA1C61">
              <w:rPr>
                <w:b/>
              </w:rPr>
              <w:t>Приказ</w:t>
            </w:r>
            <w:r w:rsidR="00081238" w:rsidRPr="00CA1C61">
              <w:rPr>
                <w:b/>
              </w:rPr>
              <w:t>ом</w:t>
            </w:r>
            <w:r w:rsidRPr="00CA1C61">
              <w:rPr>
                <w:b/>
              </w:rPr>
              <w:t xml:space="preserve"> Председателя </w:t>
            </w:r>
            <w:r w:rsidR="001E6E3D" w:rsidRPr="00CA1C61">
              <w:rPr>
                <w:b/>
              </w:rPr>
              <w:t>Правления</w:t>
            </w:r>
          </w:p>
          <w:p w14:paraId="46CD9828" w14:textId="1A405C68" w:rsidR="001E6E3D" w:rsidRPr="00CA1C61" w:rsidRDefault="001E6E3D" w:rsidP="00081238">
            <w:pPr>
              <w:pStyle w:val="21"/>
              <w:ind w:left="0"/>
              <w:jc w:val="left"/>
            </w:pPr>
            <w:r w:rsidRPr="00CA1C61">
              <w:rPr>
                <w:b/>
              </w:rPr>
              <w:t>МОРСКОГО БАНКА (АО)</w:t>
            </w:r>
          </w:p>
        </w:tc>
      </w:tr>
      <w:tr w:rsidR="001E6E3D" w:rsidRPr="00CA1C61" w14:paraId="52795E69" w14:textId="77777777" w:rsidTr="00985F68">
        <w:trPr>
          <w:trHeight w:val="687"/>
        </w:trPr>
        <w:tc>
          <w:tcPr>
            <w:tcW w:w="4786" w:type="dxa"/>
          </w:tcPr>
          <w:p w14:paraId="037FF705" w14:textId="77777777" w:rsidR="001E6E3D" w:rsidRPr="00CA1C61" w:rsidRDefault="001E6E3D" w:rsidP="002D328B">
            <w:pPr>
              <w:pStyle w:val="21"/>
              <w:ind w:left="0"/>
              <w:jc w:val="right"/>
            </w:pPr>
          </w:p>
        </w:tc>
        <w:tc>
          <w:tcPr>
            <w:tcW w:w="4852" w:type="dxa"/>
          </w:tcPr>
          <w:p w14:paraId="5F341F74" w14:textId="28CF6EA0" w:rsidR="001E6E3D" w:rsidRPr="00CA1C61" w:rsidRDefault="00331D7A" w:rsidP="00985F68">
            <w:pPr>
              <w:pStyle w:val="21"/>
              <w:ind w:left="-250" w:firstLine="250"/>
              <w:jc w:val="left"/>
              <w:rPr>
                <w:b/>
              </w:rPr>
            </w:pPr>
            <w:r w:rsidRPr="00CA1C61">
              <w:rPr>
                <w:b/>
              </w:rPr>
              <w:t>№ МБ -</w:t>
            </w:r>
            <w:r w:rsidR="00EE639C" w:rsidRPr="00CA1C61">
              <w:rPr>
                <w:b/>
              </w:rPr>
              <w:t xml:space="preserve"> </w:t>
            </w:r>
            <w:r w:rsidR="00C73246">
              <w:rPr>
                <w:b/>
              </w:rPr>
              <w:t>217</w:t>
            </w:r>
            <w:r w:rsidR="00C73246" w:rsidRPr="00CA1C61">
              <w:rPr>
                <w:b/>
              </w:rPr>
              <w:t xml:space="preserve"> </w:t>
            </w:r>
            <w:r w:rsidR="007B74AC" w:rsidRPr="00CA1C61">
              <w:rPr>
                <w:b/>
              </w:rPr>
              <w:t>от «</w:t>
            </w:r>
            <w:r w:rsidR="000B62AE">
              <w:rPr>
                <w:b/>
              </w:rPr>
              <w:t>29</w:t>
            </w:r>
            <w:r w:rsidR="007B74AC" w:rsidRPr="00CA1C61">
              <w:rPr>
                <w:b/>
              </w:rPr>
              <w:t>»</w:t>
            </w:r>
            <w:r w:rsidR="006B29D5" w:rsidRPr="00CA1C61">
              <w:rPr>
                <w:b/>
              </w:rPr>
              <w:t xml:space="preserve"> </w:t>
            </w:r>
            <w:r w:rsidR="006601D7" w:rsidRPr="00CA1C61">
              <w:rPr>
                <w:b/>
              </w:rPr>
              <w:t>августа</w:t>
            </w:r>
            <w:r w:rsidR="00EE639C" w:rsidRPr="00CA1C61">
              <w:rPr>
                <w:b/>
              </w:rPr>
              <w:t xml:space="preserve"> </w:t>
            </w:r>
            <w:r w:rsidR="00AE04A2" w:rsidRPr="00CA1C61">
              <w:rPr>
                <w:b/>
              </w:rPr>
              <w:t>20</w:t>
            </w:r>
            <w:r w:rsidR="00081238" w:rsidRPr="00CA1C61">
              <w:rPr>
                <w:b/>
              </w:rPr>
              <w:t>2</w:t>
            </w:r>
            <w:r w:rsidR="00855E2F" w:rsidRPr="00CA1C61">
              <w:rPr>
                <w:b/>
              </w:rPr>
              <w:t xml:space="preserve">2 </w:t>
            </w:r>
            <w:r w:rsidR="00AE04A2" w:rsidRPr="00CA1C61">
              <w:rPr>
                <w:b/>
              </w:rPr>
              <w:t>г</w:t>
            </w:r>
            <w:r w:rsidR="004526B6" w:rsidRPr="00CA1C61">
              <w:rPr>
                <w:b/>
              </w:rPr>
              <w:t>.</w:t>
            </w:r>
            <w:r w:rsidRPr="00CA1C61">
              <w:rPr>
                <w:b/>
              </w:rPr>
              <w:t xml:space="preserve"> </w:t>
            </w:r>
          </w:p>
          <w:p w14:paraId="6DA79E86" w14:textId="77777777" w:rsidR="001E6E3D" w:rsidRPr="00CA1C61" w:rsidRDefault="001E6E3D" w:rsidP="002D328B">
            <w:pPr>
              <w:pStyle w:val="21"/>
              <w:ind w:left="0"/>
              <w:jc w:val="right"/>
            </w:pPr>
          </w:p>
        </w:tc>
      </w:tr>
    </w:tbl>
    <w:p w14:paraId="1527B2FF" w14:textId="77777777" w:rsidR="00CC781A" w:rsidRPr="00CA1C61" w:rsidRDefault="00CC781A">
      <w:pPr>
        <w:jc w:val="center"/>
        <w:rPr>
          <w:b/>
        </w:rPr>
      </w:pPr>
    </w:p>
    <w:p w14:paraId="2F0A93BD" w14:textId="77777777" w:rsidR="00CC781A" w:rsidRPr="00CA1C61" w:rsidRDefault="00CC781A">
      <w:pPr>
        <w:jc w:val="center"/>
        <w:rPr>
          <w:b/>
        </w:rPr>
      </w:pPr>
    </w:p>
    <w:p w14:paraId="43D28EDB" w14:textId="77777777" w:rsidR="00CC781A" w:rsidRPr="00CA1C61" w:rsidRDefault="00CC781A">
      <w:pPr>
        <w:jc w:val="center"/>
        <w:rPr>
          <w:b/>
        </w:rPr>
      </w:pPr>
    </w:p>
    <w:p w14:paraId="7FBF2F30" w14:textId="77777777" w:rsidR="00CC781A" w:rsidRPr="00CA1C61" w:rsidRDefault="002C2FFF">
      <w:pPr>
        <w:jc w:val="center"/>
        <w:rPr>
          <w:b/>
        </w:rPr>
      </w:pPr>
      <w:r w:rsidRPr="00CA1C61">
        <w:rPr>
          <w:b/>
        </w:rPr>
        <w:t xml:space="preserve"> </w:t>
      </w:r>
    </w:p>
    <w:p w14:paraId="64823727" w14:textId="77777777" w:rsidR="001A7AB8" w:rsidRPr="00CA1C61" w:rsidRDefault="001A7AB8">
      <w:pPr>
        <w:jc w:val="center"/>
        <w:rPr>
          <w:b/>
        </w:rPr>
      </w:pPr>
    </w:p>
    <w:p w14:paraId="728AB09A" w14:textId="77777777" w:rsidR="001A7AB8" w:rsidRPr="00CA1C61" w:rsidRDefault="001A7AB8">
      <w:pPr>
        <w:jc w:val="center"/>
        <w:rPr>
          <w:b/>
        </w:rPr>
      </w:pPr>
    </w:p>
    <w:p w14:paraId="4DA5F131" w14:textId="77777777" w:rsidR="001A7AB8" w:rsidRPr="00CA1C61" w:rsidRDefault="001A7AB8">
      <w:pPr>
        <w:jc w:val="center"/>
        <w:rPr>
          <w:b/>
        </w:rPr>
      </w:pPr>
    </w:p>
    <w:p w14:paraId="626F88D3" w14:textId="77777777" w:rsidR="00684F9A" w:rsidRPr="00CA1C61" w:rsidRDefault="00684F9A" w:rsidP="00684F9A">
      <w:pPr>
        <w:jc w:val="center"/>
        <w:rPr>
          <w:b/>
        </w:rPr>
      </w:pPr>
    </w:p>
    <w:p w14:paraId="6BE0ED27" w14:textId="77777777" w:rsidR="00684F9A" w:rsidRPr="00CA1C61" w:rsidRDefault="00684F9A" w:rsidP="00684F9A">
      <w:pPr>
        <w:jc w:val="center"/>
        <w:rPr>
          <w:b/>
        </w:rPr>
      </w:pPr>
      <w:r w:rsidRPr="00CA1C61">
        <w:rPr>
          <w:b/>
        </w:rPr>
        <w:t>ПОРЯДОК</w:t>
      </w:r>
    </w:p>
    <w:p w14:paraId="2EF6DD97" w14:textId="77777777" w:rsidR="00684F9A" w:rsidRPr="00CA1C61" w:rsidRDefault="00684F9A" w:rsidP="00684F9A">
      <w:pPr>
        <w:jc w:val="center"/>
        <w:rPr>
          <w:b/>
        </w:rPr>
      </w:pPr>
    </w:p>
    <w:p w14:paraId="74053A74" w14:textId="77777777" w:rsidR="00326747" w:rsidRDefault="00171D9C" w:rsidP="00684F9A">
      <w:pPr>
        <w:jc w:val="center"/>
        <w:rPr>
          <w:rFonts w:eastAsia="Calibri"/>
          <w:b/>
          <w:lang w:eastAsia="en-US"/>
        </w:rPr>
      </w:pPr>
      <w:r>
        <w:rPr>
          <w:b/>
        </w:rPr>
        <w:t>ВЗАИМОДЕЙСТВИЯ</w:t>
      </w:r>
      <w:r w:rsidR="00684F9A" w:rsidRPr="00CA1C61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 xml:space="preserve">МОРСКОГО БАНКА (АО) </w:t>
      </w:r>
    </w:p>
    <w:p w14:paraId="3DFD85B2" w14:textId="3BDBA2E7" w:rsidR="00B92A7C" w:rsidRPr="00CA1C61" w:rsidRDefault="00326747" w:rsidP="00684F9A">
      <w:pPr>
        <w:jc w:val="center"/>
        <w:rPr>
          <w:b/>
        </w:rPr>
      </w:pPr>
      <w:r>
        <w:rPr>
          <w:rFonts w:eastAsia="Calibri"/>
          <w:b/>
          <w:lang w:eastAsia="en-US"/>
        </w:rPr>
        <w:t xml:space="preserve">С </w:t>
      </w:r>
      <w:r w:rsidRPr="00CA1C61">
        <w:rPr>
          <w:rFonts w:eastAsia="Calibri"/>
          <w:b/>
          <w:lang w:eastAsia="en-US"/>
        </w:rPr>
        <w:t>ПОЛУЧАТЕЛ</w:t>
      </w:r>
      <w:r>
        <w:rPr>
          <w:rFonts w:eastAsia="Calibri"/>
          <w:b/>
          <w:lang w:eastAsia="en-US"/>
        </w:rPr>
        <w:t>ЯМИ</w:t>
      </w:r>
      <w:r w:rsidRPr="00CA1C61">
        <w:rPr>
          <w:rFonts w:eastAsia="Calibri"/>
          <w:b/>
          <w:lang w:eastAsia="en-US"/>
        </w:rPr>
        <w:t xml:space="preserve"> </w:t>
      </w:r>
      <w:r w:rsidR="00B92A7C" w:rsidRPr="00CA1C61">
        <w:rPr>
          <w:rFonts w:eastAsia="Calibri"/>
          <w:b/>
          <w:lang w:eastAsia="en-US"/>
        </w:rPr>
        <w:t>ФИНАНСОВЫХ</w:t>
      </w:r>
      <w:r w:rsidR="00684F9A" w:rsidRPr="00CA1C61">
        <w:rPr>
          <w:rFonts w:eastAsia="Calibri"/>
          <w:b/>
          <w:lang w:eastAsia="en-US"/>
        </w:rPr>
        <w:t xml:space="preserve"> УСЛУГ</w:t>
      </w:r>
      <w:r w:rsidR="00684F9A" w:rsidRPr="00CA1C61">
        <w:rPr>
          <w:b/>
        </w:rPr>
        <w:t xml:space="preserve"> </w:t>
      </w:r>
    </w:p>
    <w:p w14:paraId="4F9FBD66" w14:textId="2A37E081" w:rsidR="00684F9A" w:rsidRPr="00CA1C61" w:rsidRDefault="00B92A7C" w:rsidP="00684F9A">
      <w:pPr>
        <w:jc w:val="center"/>
        <w:rPr>
          <w:b/>
        </w:rPr>
      </w:pPr>
      <w:r w:rsidRPr="00CA1C61">
        <w:rPr>
          <w:b/>
        </w:rPr>
        <w:t xml:space="preserve">ДЕПОЗИТАРИЯ </w:t>
      </w:r>
      <w:r w:rsidR="00684F9A" w:rsidRPr="00CA1C61">
        <w:rPr>
          <w:b/>
        </w:rPr>
        <w:t xml:space="preserve">МОРСКОГО БАНКА (АО) </w:t>
      </w:r>
    </w:p>
    <w:p w14:paraId="3E31E033" w14:textId="77777777" w:rsidR="00684F9A" w:rsidRPr="00CA1C61" w:rsidRDefault="00684F9A" w:rsidP="00684F9A">
      <w:pPr>
        <w:jc w:val="center"/>
      </w:pPr>
    </w:p>
    <w:p w14:paraId="1A72DED2" w14:textId="77777777" w:rsidR="00684F9A" w:rsidRPr="00CA1C61" w:rsidRDefault="00684F9A" w:rsidP="00684F9A">
      <w:pPr>
        <w:jc w:val="center"/>
        <w:rPr>
          <w:i/>
          <w:color w:val="000080"/>
        </w:rPr>
      </w:pPr>
    </w:p>
    <w:p w14:paraId="7222B858" w14:textId="77777777" w:rsidR="001A7AB8" w:rsidRPr="00CA1C61" w:rsidRDefault="001A7AB8">
      <w:pPr>
        <w:jc w:val="center"/>
        <w:rPr>
          <w:b/>
        </w:rPr>
      </w:pPr>
    </w:p>
    <w:p w14:paraId="3906F61D" w14:textId="77777777" w:rsidR="001A7AB8" w:rsidRPr="00CA1C61" w:rsidRDefault="001A7AB8">
      <w:pPr>
        <w:jc w:val="center"/>
        <w:rPr>
          <w:b/>
        </w:rPr>
      </w:pPr>
    </w:p>
    <w:p w14:paraId="5B1C90F9" w14:textId="77777777" w:rsidR="001A7AB8" w:rsidRPr="00CA1C61" w:rsidRDefault="001A7AB8">
      <w:pPr>
        <w:jc w:val="center"/>
        <w:rPr>
          <w:b/>
        </w:rPr>
      </w:pPr>
    </w:p>
    <w:p w14:paraId="71F28382" w14:textId="77777777" w:rsidR="001A7AB8" w:rsidRPr="00CA1C61" w:rsidRDefault="001A7AB8">
      <w:pPr>
        <w:jc w:val="center"/>
        <w:rPr>
          <w:b/>
        </w:rPr>
      </w:pPr>
    </w:p>
    <w:p w14:paraId="7FAC175F" w14:textId="77777777" w:rsidR="00CC781A" w:rsidRPr="00CA1C61" w:rsidRDefault="00CC781A">
      <w:pPr>
        <w:jc w:val="center"/>
        <w:rPr>
          <w:b/>
        </w:rPr>
      </w:pPr>
    </w:p>
    <w:p w14:paraId="08098F2D" w14:textId="484B8CE0" w:rsidR="00CC781A" w:rsidRPr="00CA1C61" w:rsidRDefault="00CC781A">
      <w:pPr>
        <w:jc w:val="center"/>
        <w:rPr>
          <w:b/>
        </w:rPr>
      </w:pPr>
    </w:p>
    <w:p w14:paraId="1568480B" w14:textId="5CA0793A" w:rsidR="00684F9A" w:rsidRPr="00CA1C61" w:rsidRDefault="00684F9A">
      <w:pPr>
        <w:jc w:val="center"/>
        <w:rPr>
          <w:b/>
        </w:rPr>
      </w:pPr>
    </w:p>
    <w:p w14:paraId="13579EDC" w14:textId="237609E8" w:rsidR="00684F9A" w:rsidRPr="00CA1C61" w:rsidRDefault="00684F9A">
      <w:pPr>
        <w:jc w:val="center"/>
        <w:rPr>
          <w:b/>
        </w:rPr>
      </w:pPr>
    </w:p>
    <w:p w14:paraId="0266D4AA" w14:textId="3DF926E5" w:rsidR="00684F9A" w:rsidRPr="00CA1C61" w:rsidRDefault="00684F9A">
      <w:pPr>
        <w:jc w:val="center"/>
        <w:rPr>
          <w:b/>
        </w:rPr>
      </w:pPr>
    </w:p>
    <w:p w14:paraId="1A55EE52" w14:textId="6DA48312" w:rsidR="00684F9A" w:rsidRPr="00CA1C61" w:rsidRDefault="00684F9A">
      <w:pPr>
        <w:jc w:val="center"/>
        <w:rPr>
          <w:b/>
        </w:rPr>
      </w:pPr>
    </w:p>
    <w:p w14:paraId="5B454E16" w14:textId="0CD18846" w:rsidR="00684F9A" w:rsidRPr="00CA1C61" w:rsidRDefault="00684F9A">
      <w:pPr>
        <w:jc w:val="center"/>
        <w:rPr>
          <w:b/>
        </w:rPr>
      </w:pPr>
    </w:p>
    <w:p w14:paraId="5D659695" w14:textId="1D4EB1F7" w:rsidR="00684F9A" w:rsidRPr="00CA1C61" w:rsidRDefault="00684F9A">
      <w:pPr>
        <w:jc w:val="center"/>
        <w:rPr>
          <w:b/>
        </w:rPr>
      </w:pPr>
    </w:p>
    <w:p w14:paraId="6F0E106B" w14:textId="0998C1D9" w:rsidR="00684F9A" w:rsidRPr="00CA1C61" w:rsidRDefault="00684F9A">
      <w:pPr>
        <w:jc w:val="center"/>
        <w:rPr>
          <w:b/>
        </w:rPr>
      </w:pPr>
    </w:p>
    <w:p w14:paraId="445167BD" w14:textId="0205A990" w:rsidR="00684F9A" w:rsidRPr="00CA1C61" w:rsidRDefault="00684F9A">
      <w:pPr>
        <w:jc w:val="center"/>
        <w:rPr>
          <w:b/>
        </w:rPr>
      </w:pPr>
    </w:p>
    <w:p w14:paraId="2E469C01" w14:textId="65DBB006" w:rsidR="00684F9A" w:rsidRPr="00CA1C61" w:rsidRDefault="00684F9A">
      <w:pPr>
        <w:jc w:val="center"/>
        <w:rPr>
          <w:b/>
        </w:rPr>
      </w:pPr>
    </w:p>
    <w:p w14:paraId="37FCC8F8" w14:textId="77B6B66B" w:rsidR="00684F9A" w:rsidRPr="00CA1C61" w:rsidRDefault="00684F9A">
      <w:pPr>
        <w:jc w:val="center"/>
        <w:rPr>
          <w:b/>
        </w:rPr>
      </w:pPr>
    </w:p>
    <w:p w14:paraId="37812F64" w14:textId="7203E75E" w:rsidR="00684F9A" w:rsidRPr="00CA1C61" w:rsidRDefault="00684F9A">
      <w:pPr>
        <w:jc w:val="center"/>
        <w:rPr>
          <w:b/>
        </w:rPr>
      </w:pPr>
    </w:p>
    <w:p w14:paraId="1ACFEB66" w14:textId="35867169" w:rsidR="00684F9A" w:rsidRPr="00CA1C61" w:rsidRDefault="00684F9A">
      <w:pPr>
        <w:jc w:val="center"/>
        <w:rPr>
          <w:b/>
        </w:rPr>
      </w:pPr>
    </w:p>
    <w:p w14:paraId="01B99C52" w14:textId="48AE9ABA" w:rsidR="00684F9A" w:rsidRPr="00CA1C61" w:rsidRDefault="00684F9A">
      <w:pPr>
        <w:jc w:val="center"/>
        <w:rPr>
          <w:b/>
        </w:rPr>
      </w:pPr>
    </w:p>
    <w:p w14:paraId="6D72C077" w14:textId="664E7F7A" w:rsidR="00684F9A" w:rsidRPr="00CA1C61" w:rsidRDefault="00684F9A">
      <w:pPr>
        <w:jc w:val="center"/>
        <w:rPr>
          <w:b/>
        </w:rPr>
      </w:pPr>
    </w:p>
    <w:p w14:paraId="6C7D5B09" w14:textId="201A61CE" w:rsidR="00684F9A" w:rsidRPr="00CA1C61" w:rsidRDefault="00684F9A">
      <w:pPr>
        <w:jc w:val="center"/>
        <w:rPr>
          <w:b/>
        </w:rPr>
      </w:pPr>
    </w:p>
    <w:p w14:paraId="2F26E74A" w14:textId="0283D85B" w:rsidR="00684F9A" w:rsidRPr="00CA1C61" w:rsidRDefault="00684F9A">
      <w:pPr>
        <w:jc w:val="center"/>
        <w:rPr>
          <w:b/>
        </w:rPr>
      </w:pPr>
    </w:p>
    <w:p w14:paraId="170FBFB4" w14:textId="523A090D" w:rsidR="00684F9A" w:rsidRPr="00CA1C61" w:rsidRDefault="00684F9A">
      <w:pPr>
        <w:jc w:val="center"/>
        <w:rPr>
          <w:b/>
        </w:rPr>
      </w:pPr>
    </w:p>
    <w:p w14:paraId="177A0C18" w14:textId="402EBC6D" w:rsidR="00684F9A" w:rsidRPr="00CA1C61" w:rsidRDefault="00684F9A">
      <w:pPr>
        <w:jc w:val="center"/>
        <w:rPr>
          <w:b/>
        </w:rPr>
      </w:pPr>
    </w:p>
    <w:p w14:paraId="5BFF74EB" w14:textId="7235349C" w:rsidR="00684F9A" w:rsidRPr="00CA1C61" w:rsidRDefault="00684F9A">
      <w:pPr>
        <w:jc w:val="center"/>
        <w:rPr>
          <w:b/>
        </w:rPr>
      </w:pPr>
    </w:p>
    <w:p w14:paraId="7E302B52" w14:textId="18FAE34D" w:rsidR="00684F9A" w:rsidRPr="00CA1C61" w:rsidRDefault="00684F9A">
      <w:pPr>
        <w:jc w:val="center"/>
        <w:rPr>
          <w:b/>
        </w:rPr>
      </w:pPr>
    </w:p>
    <w:p w14:paraId="1A07BAD3" w14:textId="77777777" w:rsidR="00684F9A" w:rsidRPr="00CA1C61" w:rsidRDefault="00684F9A" w:rsidP="00B92A7C">
      <w:pPr>
        <w:jc w:val="center"/>
        <w:rPr>
          <w:b/>
        </w:rPr>
      </w:pPr>
      <w:r w:rsidRPr="00CA1C61">
        <w:rPr>
          <w:b/>
        </w:rPr>
        <w:t>Москва 2022 г.</w:t>
      </w:r>
    </w:p>
    <w:p w14:paraId="07FB59CC" w14:textId="50B0A9F2" w:rsidR="00684F9A" w:rsidRPr="00CA1C61" w:rsidRDefault="00684F9A">
      <w:pPr>
        <w:jc w:val="center"/>
        <w:rPr>
          <w:b/>
        </w:rPr>
      </w:pPr>
    </w:p>
    <w:bookmarkEnd w:id="0"/>
    <w:p w14:paraId="421D6499" w14:textId="77777777" w:rsidR="005A014C" w:rsidRDefault="005A014C" w:rsidP="00684F9A">
      <w:pPr>
        <w:spacing w:before="60" w:after="100"/>
        <w:jc w:val="center"/>
        <w:rPr>
          <w:b/>
          <w:snapToGrid w:val="0"/>
        </w:rPr>
      </w:pPr>
    </w:p>
    <w:p w14:paraId="7CC4C477" w14:textId="77777777" w:rsidR="005A014C" w:rsidRDefault="005A014C" w:rsidP="00684F9A">
      <w:pPr>
        <w:spacing w:before="60" w:after="100"/>
        <w:jc w:val="center"/>
        <w:rPr>
          <w:b/>
          <w:snapToGrid w:val="0"/>
        </w:rPr>
      </w:pPr>
    </w:p>
    <w:p w14:paraId="2A0067D1" w14:textId="7CA90F81" w:rsidR="00684F9A" w:rsidRPr="00684F9A" w:rsidRDefault="00684F9A" w:rsidP="00684F9A">
      <w:pPr>
        <w:spacing w:before="60" w:after="100"/>
        <w:jc w:val="center"/>
        <w:rPr>
          <w:b/>
          <w:snapToGrid w:val="0"/>
        </w:rPr>
      </w:pPr>
      <w:r w:rsidRPr="00684F9A">
        <w:rPr>
          <w:b/>
          <w:snapToGrid w:val="0"/>
        </w:rPr>
        <w:t>СОДЕРЖАНИЕ</w:t>
      </w:r>
    </w:p>
    <w:tbl>
      <w:tblPr>
        <w:tblW w:w="9400" w:type="dxa"/>
        <w:tblInd w:w="108" w:type="dxa"/>
        <w:tblLook w:val="0000" w:firstRow="0" w:lastRow="0" w:firstColumn="0" w:lastColumn="0" w:noHBand="0" w:noVBand="0"/>
      </w:tblPr>
      <w:tblGrid>
        <w:gridCol w:w="8739"/>
        <w:gridCol w:w="661"/>
      </w:tblGrid>
      <w:tr w:rsidR="00684F9A" w:rsidRPr="00684F9A" w14:paraId="6BF5CBE3" w14:textId="77777777" w:rsidTr="00466924">
        <w:trPr>
          <w:trHeight w:val="300"/>
        </w:trPr>
        <w:tc>
          <w:tcPr>
            <w:tcW w:w="8739" w:type="dxa"/>
            <w:tcBorders>
              <w:bottom w:val="single" w:sz="4" w:space="0" w:color="auto"/>
            </w:tcBorders>
            <w:vAlign w:val="center"/>
          </w:tcPr>
          <w:p w14:paraId="6C9B98C9" w14:textId="77777777" w:rsidR="00684F9A" w:rsidRPr="00684F9A" w:rsidRDefault="00684F9A" w:rsidP="00684F9A">
            <w:pPr>
              <w:jc w:val="both"/>
              <w:rPr>
                <w:b/>
                <w:bCs/>
              </w:rPr>
            </w:pPr>
            <w:r w:rsidRPr="00684F9A">
              <w:rPr>
                <w:b/>
                <w:bCs/>
              </w:rPr>
              <w:t> </w:t>
            </w:r>
          </w:p>
        </w:tc>
        <w:tc>
          <w:tcPr>
            <w:tcW w:w="661" w:type="dxa"/>
            <w:tcBorders>
              <w:left w:val="nil"/>
              <w:bottom w:val="single" w:sz="4" w:space="0" w:color="auto"/>
            </w:tcBorders>
          </w:tcPr>
          <w:p w14:paraId="28414B63" w14:textId="77777777" w:rsidR="00684F9A" w:rsidRPr="00684F9A" w:rsidRDefault="00684F9A" w:rsidP="00684F9A">
            <w:pPr>
              <w:jc w:val="center"/>
            </w:pPr>
            <w:r w:rsidRPr="00684F9A">
              <w:t>Стр.</w:t>
            </w:r>
          </w:p>
        </w:tc>
      </w:tr>
      <w:tr w:rsidR="00684F9A" w:rsidRPr="00401C21" w14:paraId="0F6BD723" w14:textId="77777777" w:rsidTr="00466924">
        <w:trPr>
          <w:trHeight w:val="306"/>
        </w:trPr>
        <w:tc>
          <w:tcPr>
            <w:tcW w:w="8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844" w14:textId="77777777" w:rsidR="00684F9A" w:rsidRPr="00401C21" w:rsidRDefault="00684F9A" w:rsidP="00466924">
            <w:pPr>
              <w:pStyle w:val="af4"/>
              <w:numPr>
                <w:ilvl w:val="0"/>
                <w:numId w:val="38"/>
              </w:numPr>
            </w:pPr>
            <w:r w:rsidRPr="00401C21">
              <w:t>Общие положения</w:t>
            </w:r>
          </w:p>
          <w:p w14:paraId="4F9BA2C6" w14:textId="704C9BB8" w:rsidR="005A014C" w:rsidRPr="00401C21" w:rsidRDefault="005A014C" w:rsidP="005A014C">
            <w:pPr>
              <w:pStyle w:val="af4"/>
              <w:ind w:left="720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06192" w14:textId="774982F2" w:rsidR="00684F9A" w:rsidRPr="00401C21" w:rsidRDefault="005A014C" w:rsidP="00684F9A">
            <w:pPr>
              <w:jc w:val="center"/>
            </w:pPr>
            <w:r w:rsidRPr="00401C21">
              <w:t>3</w:t>
            </w:r>
          </w:p>
        </w:tc>
      </w:tr>
      <w:tr w:rsidR="00684F9A" w:rsidRPr="00401C21" w14:paraId="361EF263" w14:textId="77777777" w:rsidTr="00466924">
        <w:trPr>
          <w:trHeight w:val="300"/>
        </w:trPr>
        <w:tc>
          <w:tcPr>
            <w:tcW w:w="8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0F0" w14:textId="2E6DAC88" w:rsidR="00684F9A" w:rsidRPr="00401C21" w:rsidRDefault="00466924" w:rsidP="005A014C">
            <w:pPr>
              <w:pStyle w:val="af4"/>
              <w:numPr>
                <w:ilvl w:val="0"/>
                <w:numId w:val="38"/>
              </w:numPr>
              <w:tabs>
                <w:tab w:val="right" w:leader="dot" w:pos="9072"/>
              </w:tabs>
              <w:rPr>
                <w:snapToGrid w:val="0"/>
                <w:color w:val="000000"/>
              </w:rPr>
            </w:pPr>
            <w:r w:rsidRPr="00401C21">
              <w:rPr>
                <w:snapToGrid w:val="0"/>
                <w:color w:val="000000"/>
              </w:rPr>
              <w:t>Порядок предоставления</w:t>
            </w:r>
            <w:r w:rsidRPr="00401C21">
              <w:t xml:space="preserve"> </w:t>
            </w:r>
            <w:r w:rsidRPr="00401C21">
              <w:rPr>
                <w:snapToGrid w:val="0"/>
                <w:color w:val="000000"/>
              </w:rPr>
              <w:t>информации Получателям финансовых услуг</w:t>
            </w:r>
          </w:p>
          <w:p w14:paraId="37291CED" w14:textId="2EBAFDAB" w:rsidR="005A014C" w:rsidRPr="00401C21" w:rsidRDefault="005A014C" w:rsidP="005A014C">
            <w:pPr>
              <w:pStyle w:val="af4"/>
              <w:tabs>
                <w:tab w:val="right" w:leader="dot" w:pos="9072"/>
              </w:tabs>
              <w:ind w:left="720"/>
              <w:rPr>
                <w:noProof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78751" w14:textId="2F438C6C" w:rsidR="00684F9A" w:rsidRPr="00F643CB" w:rsidRDefault="00F643CB" w:rsidP="00684F9A">
            <w:pPr>
              <w:jc w:val="center"/>
            </w:pPr>
            <w:r>
              <w:t>4</w:t>
            </w:r>
          </w:p>
        </w:tc>
      </w:tr>
      <w:tr w:rsidR="00684F9A" w:rsidRPr="00401C21" w14:paraId="3A26BC1F" w14:textId="77777777" w:rsidTr="00466924">
        <w:trPr>
          <w:trHeight w:val="299"/>
        </w:trPr>
        <w:tc>
          <w:tcPr>
            <w:tcW w:w="8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EC13" w14:textId="622290D5" w:rsidR="00684F9A" w:rsidRPr="00401C21" w:rsidRDefault="00466924" w:rsidP="005A014C">
            <w:pPr>
              <w:pStyle w:val="af4"/>
              <w:numPr>
                <w:ilvl w:val="0"/>
                <w:numId w:val="38"/>
              </w:numPr>
              <w:jc w:val="both"/>
            </w:pPr>
            <w:r w:rsidRPr="00401C21">
              <w:t>Правила взаимодействия с Получателями финансовых услуг.</w:t>
            </w:r>
          </w:p>
          <w:p w14:paraId="7877D4FB" w14:textId="01030DED" w:rsidR="005A014C" w:rsidRPr="00401C21" w:rsidRDefault="005A014C" w:rsidP="005A014C">
            <w:pPr>
              <w:pStyle w:val="af4"/>
              <w:ind w:left="720"/>
              <w:jc w:val="both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2A668" w14:textId="4D6EDC75" w:rsidR="00684F9A" w:rsidRPr="00401C21" w:rsidRDefault="00F643CB" w:rsidP="00684F9A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  <w:tr w:rsidR="00684F9A" w:rsidRPr="00401C21" w14:paraId="3929E3BA" w14:textId="77777777" w:rsidTr="00466924">
        <w:trPr>
          <w:trHeight w:val="276"/>
        </w:trPr>
        <w:tc>
          <w:tcPr>
            <w:tcW w:w="8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ED94" w14:textId="63454099" w:rsidR="00684F9A" w:rsidRPr="00401C21" w:rsidRDefault="00466924" w:rsidP="005A014C">
            <w:pPr>
              <w:pStyle w:val="af4"/>
              <w:numPr>
                <w:ilvl w:val="0"/>
                <w:numId w:val="38"/>
              </w:numPr>
              <w:tabs>
                <w:tab w:val="right" w:leader="dot" w:pos="9072"/>
              </w:tabs>
            </w:pPr>
            <w:r w:rsidRPr="00401C21">
              <w:t>Порядок приема документов</w:t>
            </w:r>
          </w:p>
          <w:p w14:paraId="7B0BD104" w14:textId="093C813E" w:rsidR="005A014C" w:rsidRPr="00401C21" w:rsidRDefault="005A014C" w:rsidP="005A014C">
            <w:pPr>
              <w:pStyle w:val="af4"/>
              <w:tabs>
                <w:tab w:val="right" w:leader="dot" w:pos="9072"/>
              </w:tabs>
              <w:ind w:left="720"/>
              <w:rPr>
                <w:noProof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E8BE7" w14:textId="310C55F3" w:rsidR="00684F9A" w:rsidRPr="00401C21" w:rsidRDefault="00F643CB" w:rsidP="00684F9A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  <w:tr w:rsidR="00684F9A" w:rsidRPr="00401C21" w14:paraId="059FF9D5" w14:textId="77777777" w:rsidTr="00466924">
        <w:trPr>
          <w:trHeight w:val="300"/>
        </w:trPr>
        <w:tc>
          <w:tcPr>
            <w:tcW w:w="8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851" w14:textId="11BF1994" w:rsidR="00684F9A" w:rsidRPr="00401C21" w:rsidRDefault="005A014C" w:rsidP="005A014C">
            <w:pPr>
              <w:pStyle w:val="af4"/>
              <w:widowControl w:val="0"/>
              <w:numPr>
                <w:ilvl w:val="0"/>
                <w:numId w:val="38"/>
              </w:numPr>
              <w:autoSpaceDE w:val="0"/>
              <w:autoSpaceDN w:val="0"/>
              <w:outlineLvl w:val="0"/>
            </w:pPr>
            <w:r w:rsidRPr="00401C21">
              <w:t>Рассмотрение обращений (жалоб)</w:t>
            </w:r>
          </w:p>
          <w:p w14:paraId="0389215C" w14:textId="7A86EF03" w:rsidR="005A014C" w:rsidRPr="00401C21" w:rsidRDefault="005A014C" w:rsidP="005A014C">
            <w:pPr>
              <w:pStyle w:val="af4"/>
              <w:widowControl w:val="0"/>
              <w:autoSpaceDE w:val="0"/>
              <w:autoSpaceDN w:val="0"/>
              <w:ind w:left="720"/>
              <w:outlineLvl w:val="0"/>
              <w:rPr>
                <w:noProof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D17C72" w14:textId="414A1A8D" w:rsidR="00684F9A" w:rsidRPr="00401C21" w:rsidRDefault="00F643CB" w:rsidP="00684F9A">
            <w:pPr>
              <w:jc w:val="center"/>
              <w:rPr>
                <w:lang w:val="en-US"/>
              </w:rPr>
            </w:pPr>
            <w:r>
              <w:t>8</w:t>
            </w:r>
          </w:p>
        </w:tc>
      </w:tr>
      <w:tr w:rsidR="00684F9A" w:rsidRPr="00401C21" w14:paraId="02CE0664" w14:textId="77777777" w:rsidTr="00466924">
        <w:trPr>
          <w:trHeight w:val="130"/>
        </w:trPr>
        <w:tc>
          <w:tcPr>
            <w:tcW w:w="8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AF8" w14:textId="5B452147" w:rsidR="00684F9A" w:rsidRPr="00401C21" w:rsidRDefault="005A014C" w:rsidP="005A014C">
            <w:pPr>
              <w:pStyle w:val="af4"/>
              <w:numPr>
                <w:ilvl w:val="0"/>
                <w:numId w:val="38"/>
              </w:numPr>
              <w:jc w:val="both"/>
            </w:pPr>
            <w:r w:rsidRPr="00401C21">
              <w:t>Досудебный (внесудебный) порядок урегулирования споров</w:t>
            </w:r>
          </w:p>
          <w:p w14:paraId="1BAEB8A4" w14:textId="502E3A5A" w:rsidR="005A014C" w:rsidRPr="00401C21" w:rsidRDefault="005A014C" w:rsidP="005A014C">
            <w:pPr>
              <w:pStyle w:val="af4"/>
              <w:ind w:left="720"/>
              <w:jc w:val="both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E2354" w14:textId="791951DB" w:rsidR="00684F9A" w:rsidRPr="00401C21" w:rsidRDefault="00F643CB" w:rsidP="005A014C">
            <w:pPr>
              <w:jc w:val="both"/>
            </w:pPr>
            <w:r>
              <w:t xml:space="preserve"> </w:t>
            </w:r>
            <w:r w:rsidR="00401C21" w:rsidRPr="00401C21">
              <w:t xml:space="preserve"> </w:t>
            </w:r>
            <w:r w:rsidR="00326747">
              <w:t xml:space="preserve"> </w:t>
            </w:r>
            <w:r>
              <w:t>9</w:t>
            </w:r>
          </w:p>
        </w:tc>
      </w:tr>
      <w:tr w:rsidR="00684F9A" w:rsidRPr="00401C21" w14:paraId="7BCA5629" w14:textId="77777777" w:rsidTr="00466924">
        <w:trPr>
          <w:trHeight w:val="315"/>
        </w:trPr>
        <w:tc>
          <w:tcPr>
            <w:tcW w:w="8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B7F" w14:textId="38E6BDC4" w:rsidR="00684F9A" w:rsidRPr="00401C21" w:rsidRDefault="005A014C" w:rsidP="00684F9A">
            <w:pPr>
              <w:jc w:val="both"/>
            </w:pPr>
            <w:r w:rsidRPr="00401C21">
              <w:t xml:space="preserve">       </w:t>
            </w:r>
            <w:r w:rsidR="00684F9A" w:rsidRPr="00401C21">
              <w:t>Приложения</w:t>
            </w:r>
          </w:p>
          <w:p w14:paraId="34D7D8A3" w14:textId="5A097912" w:rsidR="005A014C" w:rsidRPr="00401C21" w:rsidRDefault="005A014C" w:rsidP="00684F9A">
            <w:pPr>
              <w:jc w:val="both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EA26F" w14:textId="64E9177C" w:rsidR="00684F9A" w:rsidRPr="00401C21" w:rsidRDefault="00401C21" w:rsidP="00684F9A">
            <w:pPr>
              <w:jc w:val="center"/>
            </w:pPr>
            <w:r w:rsidRPr="00401C21">
              <w:t>11</w:t>
            </w:r>
          </w:p>
        </w:tc>
      </w:tr>
    </w:tbl>
    <w:p w14:paraId="1C585AEF" w14:textId="77777777" w:rsidR="00684F9A" w:rsidRPr="00684F9A" w:rsidRDefault="00684F9A" w:rsidP="00684F9A">
      <w:pPr>
        <w:keepNext/>
        <w:keepLines/>
        <w:spacing w:before="240"/>
        <w:ind w:left="1440" w:firstLine="360"/>
        <w:jc w:val="center"/>
        <w:outlineLvl w:val="1"/>
        <w:rPr>
          <w:b/>
          <w:iCs/>
        </w:rPr>
      </w:pPr>
    </w:p>
    <w:p w14:paraId="2A8001E7" w14:textId="488D8038" w:rsidR="0083480F" w:rsidRDefault="0083480F">
      <w:pPr>
        <w:rPr>
          <w:b/>
        </w:rPr>
      </w:pPr>
      <w:r>
        <w:rPr>
          <w:b/>
        </w:rPr>
        <w:br w:type="page"/>
      </w:r>
    </w:p>
    <w:p w14:paraId="59AD5F08" w14:textId="5929881F" w:rsidR="003163B7" w:rsidRDefault="003163B7" w:rsidP="00401C21">
      <w:pPr>
        <w:pStyle w:val="af4"/>
        <w:keepNext/>
        <w:keepLines/>
        <w:numPr>
          <w:ilvl w:val="0"/>
          <w:numId w:val="39"/>
        </w:numPr>
        <w:spacing w:before="240"/>
        <w:jc w:val="center"/>
        <w:outlineLvl w:val="1"/>
        <w:rPr>
          <w:b/>
          <w:iCs/>
        </w:rPr>
      </w:pPr>
      <w:r w:rsidRPr="00401C21">
        <w:rPr>
          <w:b/>
          <w:iCs/>
        </w:rPr>
        <w:lastRenderedPageBreak/>
        <w:t>Общие положения.</w:t>
      </w:r>
    </w:p>
    <w:p w14:paraId="2957ECF2" w14:textId="77777777" w:rsidR="0088492A" w:rsidRPr="00401C21" w:rsidRDefault="0088492A" w:rsidP="0088492A">
      <w:pPr>
        <w:pStyle w:val="af4"/>
        <w:keepNext/>
        <w:keepLines/>
        <w:spacing w:before="240"/>
        <w:ind w:left="720"/>
        <w:outlineLvl w:val="1"/>
        <w:rPr>
          <w:b/>
          <w:iCs/>
        </w:rPr>
      </w:pPr>
    </w:p>
    <w:p w14:paraId="46B4B596" w14:textId="34081289" w:rsidR="00F87057" w:rsidRPr="00CA1C61" w:rsidRDefault="003163B7" w:rsidP="00F87057">
      <w:pPr>
        <w:ind w:firstLine="708"/>
        <w:jc w:val="both"/>
        <w:rPr>
          <w:snapToGrid w:val="0"/>
          <w:color w:val="000000"/>
        </w:rPr>
      </w:pPr>
      <w:r w:rsidRPr="00CA1C61">
        <w:t xml:space="preserve">Порядок </w:t>
      </w:r>
      <w:r w:rsidR="00171D9C">
        <w:t xml:space="preserve">взаимодействия МОРСКОГО БАНКА (АО) </w:t>
      </w:r>
      <w:r w:rsidR="00326747">
        <w:t xml:space="preserve">с </w:t>
      </w:r>
      <w:r w:rsidR="00326747" w:rsidRPr="00CA1C61">
        <w:t>получател</w:t>
      </w:r>
      <w:r w:rsidR="00326747">
        <w:t>ями</w:t>
      </w:r>
      <w:r w:rsidR="00326747" w:rsidRPr="00CA1C61">
        <w:t xml:space="preserve"> </w:t>
      </w:r>
      <w:r w:rsidR="00B92A7C" w:rsidRPr="00CA1C61">
        <w:t xml:space="preserve">финансовых услуг </w:t>
      </w:r>
      <w:r w:rsidR="00171D9C">
        <w:t>Д</w:t>
      </w:r>
      <w:r w:rsidR="00171D9C" w:rsidRPr="00CA1C61">
        <w:t xml:space="preserve">епозитария </w:t>
      </w:r>
      <w:r w:rsidRPr="00CA1C61">
        <w:t>МОРСКОГО БАНКА (АО</w:t>
      </w:r>
      <w:r w:rsidR="00B92A7C" w:rsidRPr="00CA1C61">
        <w:t>) разработан в соответствии с</w:t>
      </w:r>
      <w:r w:rsidRPr="00CA1C61">
        <w:t xml:space="preserve"> Базовы</w:t>
      </w:r>
      <w:r w:rsidR="00B92A7C" w:rsidRPr="00CA1C61">
        <w:t>м</w:t>
      </w:r>
      <w:r w:rsidRPr="00CA1C61">
        <w:t xml:space="preserve"> стандарт</w:t>
      </w:r>
      <w:r w:rsidR="00B92A7C" w:rsidRPr="00CA1C61">
        <w:t>ом</w:t>
      </w:r>
      <w:r w:rsidRPr="00CA1C61"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депозитариев</w:t>
      </w:r>
      <w:r w:rsidR="0031596E">
        <w:t>, на основании</w:t>
      </w:r>
      <w:r w:rsidRPr="00CA1C61">
        <w:t xml:space="preserve"> </w:t>
      </w:r>
      <w:hyperlink r:id="rId9" w:history="1">
        <w:r w:rsidRPr="00CA1C61">
          <w:t>части 2 статьи 5</w:t>
        </w:r>
      </w:hyperlink>
      <w:r w:rsidRPr="00CA1C61">
        <w:t xml:space="preserve"> Федерального закона </w:t>
      </w:r>
      <w:r w:rsidR="0031596E">
        <w:t>№</w:t>
      </w:r>
      <w:r w:rsidRPr="00CA1C61">
        <w:t xml:space="preserve"> 223-ФЗ</w:t>
      </w:r>
      <w:r w:rsidR="0083499B">
        <w:rPr>
          <w:rStyle w:val="af9"/>
        </w:rPr>
        <w:footnoteReference w:id="2"/>
      </w:r>
      <w:r w:rsidRPr="00CA1C61">
        <w:t xml:space="preserve"> в соответствии с требованиями </w:t>
      </w:r>
      <w:hyperlink r:id="rId10" w:history="1">
        <w:r w:rsidRPr="00CA1C61">
          <w:t>Указания</w:t>
        </w:r>
      </w:hyperlink>
      <w:r w:rsidRPr="00CA1C61">
        <w:t xml:space="preserve"> Банка России </w:t>
      </w:r>
      <w:r w:rsidR="0031596E">
        <w:t>№</w:t>
      </w:r>
      <w:r w:rsidRPr="00CA1C61">
        <w:t xml:space="preserve"> 4585-У</w:t>
      </w:r>
      <w:r w:rsidR="0031596E">
        <w:rPr>
          <w:rStyle w:val="af9"/>
        </w:rPr>
        <w:footnoteReference w:id="3"/>
      </w:r>
      <w:r w:rsidRPr="00CA1C61">
        <w:t xml:space="preserve"> </w:t>
      </w:r>
      <w:r w:rsidR="0031596E">
        <w:t>и</w:t>
      </w:r>
      <w:r w:rsidR="00F87057" w:rsidRPr="00171D9C">
        <w:t xml:space="preserve"> </w:t>
      </w:r>
      <w:r w:rsidR="00F87057" w:rsidRPr="00CA1C61">
        <w:rPr>
          <w:snapToGrid w:val="0"/>
          <w:color w:val="000000"/>
        </w:rPr>
        <w:t>Федерального закона № 46-ФЗ</w:t>
      </w:r>
      <w:r w:rsidR="0031596E">
        <w:rPr>
          <w:rStyle w:val="af9"/>
          <w:snapToGrid w:val="0"/>
          <w:color w:val="000000"/>
        </w:rPr>
        <w:footnoteReference w:id="4"/>
      </w:r>
      <w:r w:rsidR="00F87057" w:rsidRPr="00CA1C61">
        <w:rPr>
          <w:snapToGrid w:val="0"/>
          <w:color w:val="000000"/>
        </w:rPr>
        <w:t>.</w:t>
      </w:r>
    </w:p>
    <w:p w14:paraId="33E8BB4E" w14:textId="22EDACBF" w:rsidR="00E34440" w:rsidRPr="00CA1C61" w:rsidRDefault="00171D9C" w:rsidP="00171D9C">
      <w:pPr>
        <w:keepNext/>
        <w:keepLines/>
        <w:spacing w:before="240"/>
        <w:ind w:firstLine="567"/>
        <w:jc w:val="both"/>
        <w:outlineLvl w:val="1"/>
      </w:pPr>
      <w:r>
        <w:t>Порядок</w:t>
      </w:r>
      <w:r w:rsidRPr="00CA1C61">
        <w:t xml:space="preserve"> </w:t>
      </w:r>
      <w:r w:rsidR="003163B7" w:rsidRPr="00CA1C61">
        <w:t xml:space="preserve">определяет основные принципы в области защиты прав и интересов получателей финансовых услуг, а также устанавливает требования, которыми </w:t>
      </w:r>
      <w:r w:rsidR="0031596E">
        <w:t>Д</w:t>
      </w:r>
      <w:r w:rsidR="0031596E" w:rsidRPr="00CA1C61">
        <w:t>епозитари</w:t>
      </w:r>
      <w:r w:rsidR="0031596E">
        <w:t>й</w:t>
      </w:r>
      <w:r w:rsidR="0031596E" w:rsidRPr="00CA1C61">
        <w:t xml:space="preserve"> </w:t>
      </w:r>
      <w:r w:rsidR="003163B7" w:rsidRPr="00CA1C61">
        <w:t>долж</w:t>
      </w:r>
      <w:r w:rsidR="00C1484E">
        <w:t>е</w:t>
      </w:r>
      <w:r w:rsidR="003163B7" w:rsidRPr="00CA1C61">
        <w:t>н руководствоваться в процессе осуществления своей деятельности.</w:t>
      </w:r>
    </w:p>
    <w:p w14:paraId="798D19DB" w14:textId="77777777" w:rsidR="00B04FD7" w:rsidRPr="003163B7" w:rsidRDefault="00B04FD7" w:rsidP="003163B7">
      <w:pPr>
        <w:widowControl w:val="0"/>
        <w:jc w:val="both"/>
      </w:pPr>
    </w:p>
    <w:p w14:paraId="4EDDE567" w14:textId="1308DEFA" w:rsidR="003163B7" w:rsidRDefault="003163B7" w:rsidP="003163B7">
      <w:pPr>
        <w:ind w:firstLine="567"/>
        <w:jc w:val="both"/>
      </w:pPr>
      <w:r w:rsidRPr="003163B7">
        <w:t xml:space="preserve">Для целей настоящего </w:t>
      </w:r>
      <w:r w:rsidRPr="00CA1C61">
        <w:t>Порядка</w:t>
      </w:r>
      <w:r w:rsidRPr="003163B7">
        <w:t xml:space="preserve"> применяются следующие термины и их определения:</w:t>
      </w:r>
    </w:p>
    <w:p w14:paraId="35843C07" w14:textId="77777777" w:rsidR="00DF65C8" w:rsidRPr="003163B7" w:rsidRDefault="00DF65C8" w:rsidP="003163B7">
      <w:pPr>
        <w:ind w:firstLine="567"/>
        <w:jc w:val="both"/>
      </w:pPr>
    </w:p>
    <w:p w14:paraId="41A23A75" w14:textId="30D1874C" w:rsidR="003163B7" w:rsidRPr="00CA1C61" w:rsidRDefault="003163B7" w:rsidP="003163B7">
      <w:pPr>
        <w:jc w:val="both"/>
      </w:pPr>
      <w:r w:rsidRPr="003163B7">
        <w:rPr>
          <w:b/>
        </w:rPr>
        <w:t>Базовый стандарт</w:t>
      </w:r>
      <w:r w:rsidRPr="003163B7">
        <w:t xml:space="preserve"> – Базовый стандарт </w:t>
      </w:r>
      <w:r w:rsidR="00D75863" w:rsidRPr="00CA1C61">
        <w:t>защиты прав интересов физических и юридических лиц, получателей финансовых услуг, оказываемых членами саморегулируемых организаций в сфере финансового рынка, объединяющих депозитариев</w:t>
      </w:r>
      <w:r w:rsidRPr="003163B7">
        <w:t>.</w:t>
      </w:r>
    </w:p>
    <w:p w14:paraId="714043E0" w14:textId="77777777" w:rsidR="00D75863" w:rsidRPr="003163B7" w:rsidRDefault="00D75863" w:rsidP="003163B7">
      <w:pPr>
        <w:jc w:val="both"/>
      </w:pPr>
    </w:p>
    <w:p w14:paraId="6CEBE0A1" w14:textId="4978DD56" w:rsidR="00166C03" w:rsidRPr="00CA1C61" w:rsidRDefault="003163B7" w:rsidP="00166C03">
      <w:pPr>
        <w:ind w:left="1276" w:hanging="1276"/>
        <w:jc w:val="both"/>
        <w:rPr>
          <w:rFonts w:eastAsia="Calibri"/>
          <w:lang w:eastAsia="en-US"/>
        </w:rPr>
      </w:pPr>
      <w:r w:rsidRPr="003163B7">
        <w:rPr>
          <w:b/>
        </w:rPr>
        <w:t>Банк</w:t>
      </w:r>
      <w:r w:rsidRPr="003163B7">
        <w:t xml:space="preserve"> – </w:t>
      </w:r>
      <w:r w:rsidR="00166C03" w:rsidRPr="00CA1C61">
        <w:rPr>
          <w:rFonts w:eastAsia="Calibri"/>
          <w:lang w:eastAsia="en-US"/>
        </w:rPr>
        <w:t>МОРСКОЙ АКЦИОНЕРНЫЙ БАНК (Акционерное Общество).</w:t>
      </w:r>
    </w:p>
    <w:p w14:paraId="3CD01AE9" w14:textId="77777777" w:rsidR="00D75863" w:rsidRPr="00CA1C61" w:rsidRDefault="00D75863" w:rsidP="00166C03">
      <w:pPr>
        <w:ind w:left="1276" w:hanging="1276"/>
        <w:jc w:val="both"/>
        <w:rPr>
          <w:rFonts w:eastAsia="Calibri"/>
          <w:lang w:eastAsia="en-US"/>
        </w:rPr>
      </w:pPr>
    </w:p>
    <w:p w14:paraId="0B0F2393" w14:textId="16A5415A" w:rsidR="003163B7" w:rsidRPr="00DF65C8" w:rsidRDefault="003163B7" w:rsidP="00DF65C8">
      <w:pPr>
        <w:jc w:val="both"/>
        <w:rPr>
          <w:bCs/>
        </w:rPr>
      </w:pPr>
      <w:r w:rsidRPr="00DF65C8">
        <w:rPr>
          <w:b/>
        </w:rPr>
        <w:t>Депозитарий</w:t>
      </w:r>
      <w:r w:rsidRPr="00DF65C8">
        <w:rPr>
          <w:bCs/>
        </w:rPr>
        <w:t xml:space="preserve"> – структурное подразделение Банка, исключительным видом деятельности которого является депозитарная деятельность.</w:t>
      </w:r>
    </w:p>
    <w:p w14:paraId="5CC8D1F7" w14:textId="77777777" w:rsidR="00D75863" w:rsidRPr="00DF65C8" w:rsidRDefault="00D75863" w:rsidP="00DF65C8">
      <w:pPr>
        <w:jc w:val="both"/>
        <w:rPr>
          <w:bCs/>
        </w:rPr>
      </w:pPr>
    </w:p>
    <w:p w14:paraId="5ED47C37" w14:textId="41E7DFD2" w:rsidR="003163B7" w:rsidRPr="00CA1C61" w:rsidRDefault="003163B7" w:rsidP="003163B7">
      <w:pPr>
        <w:jc w:val="both"/>
      </w:pPr>
      <w:r w:rsidRPr="003163B7">
        <w:rPr>
          <w:b/>
        </w:rPr>
        <w:t>Депонент</w:t>
      </w:r>
      <w:r w:rsidRPr="003163B7">
        <w:t xml:space="preserve"> – физическое или юридическое лицо, пользующееся на договорных основах </w:t>
      </w:r>
      <w:r w:rsidR="00D63F11">
        <w:t xml:space="preserve">депозитарными </w:t>
      </w:r>
      <w:r w:rsidRPr="003163B7">
        <w:t xml:space="preserve">услугами </w:t>
      </w:r>
      <w:r w:rsidR="00D63F11">
        <w:t>Банка</w:t>
      </w:r>
      <w:r w:rsidRPr="003163B7">
        <w:t xml:space="preserve">. </w:t>
      </w:r>
    </w:p>
    <w:p w14:paraId="7065996C" w14:textId="77777777" w:rsidR="00D75863" w:rsidRPr="003163B7" w:rsidRDefault="00D75863" w:rsidP="003163B7">
      <w:pPr>
        <w:jc w:val="both"/>
      </w:pPr>
    </w:p>
    <w:p w14:paraId="18AE4491" w14:textId="565ECA27" w:rsidR="003163B7" w:rsidRPr="003163B7" w:rsidRDefault="003163B7" w:rsidP="003163B7">
      <w:pPr>
        <w:jc w:val="both"/>
      </w:pPr>
      <w:r w:rsidRPr="003163B7">
        <w:rPr>
          <w:b/>
          <w:bCs/>
        </w:rPr>
        <w:t>Получатели финансовых услуг</w:t>
      </w:r>
      <w:r w:rsidR="00C1484E">
        <w:rPr>
          <w:rStyle w:val="af9"/>
          <w:b/>
          <w:bCs/>
        </w:rPr>
        <w:footnoteReference w:id="5"/>
      </w:r>
      <w:r w:rsidRPr="003163B7">
        <w:t>:</w:t>
      </w:r>
    </w:p>
    <w:p w14:paraId="70892871" w14:textId="4300E5FF" w:rsidR="003163B7" w:rsidRPr="003163B7" w:rsidRDefault="003163B7" w:rsidP="003163B7">
      <w:pPr>
        <w:jc w:val="both"/>
      </w:pPr>
      <w:r w:rsidRPr="003163B7">
        <w:rPr>
          <w:b/>
          <w:bCs/>
        </w:rPr>
        <w:t>Клиент</w:t>
      </w:r>
      <w:r w:rsidRPr="003163B7">
        <w:t xml:space="preserve">* - юридическое или физическое лицо, имеющее с </w:t>
      </w:r>
      <w:r w:rsidR="00D63F11">
        <w:t>Банком</w:t>
      </w:r>
      <w:r w:rsidR="00D63F11" w:rsidRPr="003163B7">
        <w:t xml:space="preserve"> </w:t>
      </w:r>
      <w:r w:rsidRPr="003163B7">
        <w:t>действующий депозитарный договор.</w:t>
      </w:r>
    </w:p>
    <w:p w14:paraId="58E178FA" w14:textId="32FB7E09" w:rsidR="003163B7" w:rsidRPr="003163B7" w:rsidRDefault="003163B7" w:rsidP="003163B7">
      <w:pPr>
        <w:jc w:val="both"/>
      </w:pPr>
      <w:r w:rsidRPr="003163B7">
        <w:rPr>
          <w:b/>
          <w:bCs/>
        </w:rPr>
        <w:t>Потенциальный клиент</w:t>
      </w:r>
      <w:r w:rsidRPr="003163B7">
        <w:t xml:space="preserve">* - физическое или юридическое лицо, намеренное заключить с </w:t>
      </w:r>
      <w:r w:rsidR="00D63F11">
        <w:t>Банком</w:t>
      </w:r>
      <w:r w:rsidR="00D63F11" w:rsidRPr="003163B7">
        <w:t xml:space="preserve"> </w:t>
      </w:r>
      <w:r w:rsidRPr="003163B7">
        <w:t xml:space="preserve">договор об оказании финансовых услуг и с которым </w:t>
      </w:r>
      <w:r w:rsidR="00D63F11">
        <w:t>Банк</w:t>
      </w:r>
      <w:r w:rsidR="00D63F11" w:rsidRPr="003163B7">
        <w:t xml:space="preserve"> </w:t>
      </w:r>
      <w:r w:rsidRPr="003163B7">
        <w:t>намерен заключить договор об оказании финансовых услуг.</w:t>
      </w:r>
    </w:p>
    <w:p w14:paraId="5CEAE776" w14:textId="77777777" w:rsidR="003163B7" w:rsidRPr="003163B7" w:rsidRDefault="003163B7" w:rsidP="003163B7">
      <w:pPr>
        <w:jc w:val="both"/>
      </w:pPr>
      <w:r w:rsidRPr="003163B7">
        <w:rPr>
          <w:b/>
          <w:bCs/>
        </w:rPr>
        <w:t>Бывший клиент</w:t>
      </w:r>
      <w:r w:rsidRPr="003163B7">
        <w:t xml:space="preserve">* - физическое или юридическое лицо, договор об оказании финансовых услуг с которым прекращен. </w:t>
      </w:r>
    </w:p>
    <w:p w14:paraId="3ABE6F23" w14:textId="77777777" w:rsidR="003163B7" w:rsidRPr="003163B7" w:rsidRDefault="003163B7" w:rsidP="003163B7">
      <w:pPr>
        <w:jc w:val="both"/>
      </w:pPr>
      <w:r w:rsidRPr="003163B7">
        <w:rPr>
          <w:b/>
          <w:bCs/>
        </w:rPr>
        <w:t>Наследники</w:t>
      </w:r>
      <w:r w:rsidRPr="003163B7">
        <w:t xml:space="preserve">* - физические или юридические лица, являющиеся наследниками (наследниками наследников) умерших клиентов Депозитария. </w:t>
      </w:r>
    </w:p>
    <w:p w14:paraId="623964E5" w14:textId="663D7001" w:rsidR="0088492A" w:rsidRPr="00CA1C61" w:rsidRDefault="0088492A" w:rsidP="0088492A">
      <w:pPr>
        <w:jc w:val="both"/>
      </w:pPr>
      <w:r w:rsidRPr="0088492A">
        <w:rPr>
          <w:b/>
          <w:bCs/>
        </w:rPr>
        <w:lastRenderedPageBreak/>
        <w:t>Порядок</w:t>
      </w:r>
      <w:r>
        <w:t xml:space="preserve"> - п</w:t>
      </w:r>
      <w:r w:rsidRPr="00CA1C61">
        <w:t xml:space="preserve">орядок </w:t>
      </w:r>
      <w:r>
        <w:t xml:space="preserve">взаимодействия МОРСКОГО БАНКА (АО) и </w:t>
      </w:r>
      <w:r w:rsidRPr="00CA1C61">
        <w:t xml:space="preserve">получателей финансовых услуг </w:t>
      </w:r>
      <w:r>
        <w:t>Д</w:t>
      </w:r>
      <w:r w:rsidRPr="00CA1C61">
        <w:t>епозитария МОРСКОГО БАНКА (АО)</w:t>
      </w:r>
    </w:p>
    <w:p w14:paraId="2E865B3D" w14:textId="77777777" w:rsidR="00D75863" w:rsidRPr="003163B7" w:rsidRDefault="00D75863" w:rsidP="003163B7">
      <w:pPr>
        <w:ind w:firstLine="720"/>
        <w:jc w:val="both"/>
      </w:pPr>
    </w:p>
    <w:p w14:paraId="270DCBA9" w14:textId="0934E983" w:rsidR="003163B7" w:rsidRPr="00CA1C61" w:rsidRDefault="003163B7" w:rsidP="003163B7">
      <w:pPr>
        <w:jc w:val="both"/>
      </w:pPr>
      <w:r w:rsidRPr="003163B7">
        <w:rPr>
          <w:b/>
          <w:bCs/>
        </w:rPr>
        <w:t>Обращение (жалоба)</w:t>
      </w:r>
      <w:r w:rsidRPr="003163B7">
        <w:t xml:space="preserve"> - направленная Получателем финансовых услуг Депозитарию просьба о восстановлении или защите прав или интересов Получателя финансовых услуг, содержащая сведения о возможном нарушении Депозитарием требований законодательства Российской Федерации о рынке ценных бумаг, базовых и внутренних стандартов саморегулируемой организации, учредительных и внутренних документов Депозитария, связанных с осуществлением профессиональной деятельности на рынке ценных бумаг.</w:t>
      </w:r>
    </w:p>
    <w:p w14:paraId="4DEF012F" w14:textId="77777777" w:rsidR="00D75863" w:rsidRPr="003163B7" w:rsidRDefault="00D75863" w:rsidP="003163B7">
      <w:pPr>
        <w:jc w:val="both"/>
      </w:pPr>
    </w:p>
    <w:p w14:paraId="574AC9C4" w14:textId="7F49642A" w:rsidR="003163B7" w:rsidRPr="00CA1C61" w:rsidRDefault="003163B7" w:rsidP="003163B7">
      <w:pPr>
        <w:tabs>
          <w:tab w:val="left" w:pos="812"/>
        </w:tabs>
        <w:jc w:val="both"/>
      </w:pPr>
      <w:r w:rsidRPr="003163B7">
        <w:rPr>
          <w:b/>
        </w:rPr>
        <w:t>Условия</w:t>
      </w:r>
      <w:r w:rsidRPr="003163B7">
        <w:t xml:space="preserve"> - Условия осуществления депозитарной деятельности МОРСКОГО БАНКА (АО) (клиентский регламент).</w:t>
      </w:r>
    </w:p>
    <w:p w14:paraId="3D949C17" w14:textId="77777777" w:rsidR="00D75863" w:rsidRPr="003163B7" w:rsidRDefault="00D75863" w:rsidP="003163B7">
      <w:pPr>
        <w:tabs>
          <w:tab w:val="left" w:pos="812"/>
        </w:tabs>
        <w:jc w:val="both"/>
      </w:pPr>
    </w:p>
    <w:p w14:paraId="6B2B46F5" w14:textId="33E0FA01" w:rsidR="003163B7" w:rsidRPr="00CA1C61" w:rsidRDefault="003163B7" w:rsidP="00757996">
      <w:pPr>
        <w:jc w:val="both"/>
      </w:pPr>
      <w:bookmarkStart w:id="1" w:name="_Hlk99984584"/>
      <w:r w:rsidRPr="003163B7">
        <w:rPr>
          <w:b/>
          <w:bCs/>
        </w:rPr>
        <w:t>Финансовая услуга</w:t>
      </w:r>
      <w:r w:rsidRPr="003163B7">
        <w:t xml:space="preserve"> - </w:t>
      </w:r>
      <w:r w:rsidR="00757996" w:rsidRPr="00CA1C61">
        <w:rPr>
          <w:rFonts w:eastAsia="Calibri"/>
          <w:lang w:eastAsia="en-US"/>
        </w:rPr>
        <w:t>услуга по учету и переходу прав на бездокументарные ценные бумаги и обездвиженные документарные ценные бумаг</w:t>
      </w:r>
      <w:r w:rsidR="00757996" w:rsidRPr="00F43B55">
        <w:rPr>
          <w:rFonts w:eastAsia="Calibri"/>
          <w:lang w:eastAsia="en-US"/>
        </w:rPr>
        <w:t>и</w:t>
      </w:r>
      <w:r w:rsidR="00757996" w:rsidRPr="00171D9C">
        <w:rPr>
          <w:rFonts w:eastAsia="Calibri"/>
          <w:lang w:eastAsia="en-US"/>
        </w:rPr>
        <w:t>.</w:t>
      </w:r>
    </w:p>
    <w:p w14:paraId="0A5E83C7" w14:textId="7E71E8D0" w:rsidR="00BD4CA7" w:rsidRDefault="00BD4CA7" w:rsidP="00757996">
      <w:pPr>
        <w:jc w:val="both"/>
        <w:rPr>
          <w:rFonts w:eastAsia="Calibri"/>
          <w:lang w:eastAsia="en-US"/>
        </w:rPr>
      </w:pPr>
    </w:p>
    <w:p w14:paraId="72FD6CA5" w14:textId="49B365E1" w:rsidR="00BD4CA7" w:rsidRPr="00C73246" w:rsidRDefault="00BD4CA7" w:rsidP="00757996">
      <w:pPr>
        <w:jc w:val="both"/>
        <w:rPr>
          <w:b/>
        </w:rPr>
      </w:pPr>
      <w:r w:rsidRPr="00C73246">
        <w:rPr>
          <w:b/>
        </w:rPr>
        <w:t>Сайт Банка</w:t>
      </w:r>
      <w:r>
        <w:rPr>
          <w:b/>
        </w:rPr>
        <w:t xml:space="preserve"> - </w:t>
      </w:r>
      <w:r w:rsidRPr="00CA1C61">
        <w:t xml:space="preserve">официальном сайте Банка в информационно-телекоммуникационной сети </w:t>
      </w:r>
      <w:r>
        <w:t>«</w:t>
      </w:r>
      <w:r w:rsidRPr="00CA1C61">
        <w:t>Интернет</w:t>
      </w:r>
      <w:r>
        <w:t>»</w:t>
      </w:r>
      <w:r w:rsidRPr="00CA1C61">
        <w:t xml:space="preserve"> по адресу: </w:t>
      </w:r>
      <w:hyperlink r:id="rId11" w:history="1">
        <w:r w:rsidRPr="00CA1C61">
          <w:t>www.maritimebank.com</w:t>
        </w:r>
      </w:hyperlink>
      <w:r>
        <w:t>.</w:t>
      </w:r>
    </w:p>
    <w:p w14:paraId="7A74AFD3" w14:textId="77777777" w:rsidR="00757996" w:rsidRPr="003163B7" w:rsidRDefault="00757996" w:rsidP="00757996">
      <w:pPr>
        <w:jc w:val="both"/>
      </w:pPr>
    </w:p>
    <w:bookmarkEnd w:id="1"/>
    <w:p w14:paraId="764E0E46" w14:textId="428A1618" w:rsidR="003163B7" w:rsidRPr="00CA1C61" w:rsidRDefault="003163B7" w:rsidP="003163B7">
      <w:pPr>
        <w:ind w:firstLine="708"/>
        <w:jc w:val="both"/>
      </w:pPr>
      <w:r w:rsidRPr="003163B7">
        <w:t>Иные термины и определения, используемые в настоящем документе, идентичны терминам и определениям Условий.</w:t>
      </w:r>
      <w:r w:rsidR="00757996" w:rsidRPr="00CA1C61">
        <w:t xml:space="preserve"> </w:t>
      </w:r>
    </w:p>
    <w:p w14:paraId="467E7C79" w14:textId="77777777" w:rsidR="00757996" w:rsidRPr="003163B7" w:rsidRDefault="00757996" w:rsidP="003163B7">
      <w:pPr>
        <w:ind w:firstLine="708"/>
        <w:jc w:val="both"/>
      </w:pPr>
    </w:p>
    <w:p w14:paraId="2B869B93" w14:textId="75A724B3" w:rsidR="003163B7" w:rsidRPr="003163B7" w:rsidRDefault="003163B7" w:rsidP="003163B7">
      <w:pPr>
        <w:ind w:firstLine="700"/>
        <w:jc w:val="both"/>
      </w:pPr>
      <w:r w:rsidRPr="003163B7">
        <w:t xml:space="preserve">В случае внесения изменений в </w:t>
      </w:r>
      <w:r w:rsidR="00BD4CA7">
        <w:t xml:space="preserve">законодательство </w:t>
      </w:r>
      <w:r w:rsidRPr="003163B7">
        <w:t>Российской Федерации</w:t>
      </w:r>
      <w:r w:rsidR="00BD4CA7">
        <w:t>, нормативные акты Банка России</w:t>
      </w:r>
      <w:r w:rsidRPr="003163B7">
        <w:t xml:space="preserve"> и внутренние документы Банка, </w:t>
      </w:r>
      <w:r w:rsidR="00757996" w:rsidRPr="00CA1C61">
        <w:t>Порядок</w:t>
      </w:r>
      <w:r w:rsidRPr="003163B7">
        <w:t xml:space="preserve"> действует в части им не противоречащей.</w:t>
      </w:r>
    </w:p>
    <w:p w14:paraId="0D898B73" w14:textId="70B7857A" w:rsidR="003163B7" w:rsidRPr="00CA1C61" w:rsidRDefault="003163B7" w:rsidP="00CC2160">
      <w:pPr>
        <w:jc w:val="center"/>
        <w:rPr>
          <w:b/>
        </w:rPr>
      </w:pPr>
    </w:p>
    <w:p w14:paraId="31B5491E" w14:textId="12C2DF64" w:rsidR="003163B7" w:rsidRPr="00CA1C61" w:rsidRDefault="003163B7" w:rsidP="00CC2160">
      <w:pPr>
        <w:jc w:val="center"/>
        <w:rPr>
          <w:b/>
        </w:rPr>
      </w:pPr>
    </w:p>
    <w:p w14:paraId="102D1ECC" w14:textId="0FD24AE7" w:rsidR="00684F9A" w:rsidRPr="00CA1C61" w:rsidRDefault="003878DF" w:rsidP="00684F9A">
      <w:pPr>
        <w:ind w:firstLine="708"/>
        <w:jc w:val="both"/>
        <w:rPr>
          <w:b/>
          <w:bCs/>
          <w:snapToGrid w:val="0"/>
          <w:color w:val="000000"/>
        </w:rPr>
      </w:pPr>
      <w:r w:rsidRPr="00CA1C61">
        <w:rPr>
          <w:b/>
          <w:bCs/>
          <w:snapToGrid w:val="0"/>
          <w:color w:val="000000"/>
        </w:rPr>
        <w:t>2</w:t>
      </w:r>
      <w:r w:rsidR="008A01EE" w:rsidRPr="00CA1C61">
        <w:rPr>
          <w:b/>
          <w:bCs/>
          <w:snapToGrid w:val="0"/>
          <w:color w:val="000000"/>
        </w:rPr>
        <w:t>.</w:t>
      </w:r>
      <w:r w:rsidR="00684F9A" w:rsidRPr="00CA1C61">
        <w:rPr>
          <w:b/>
          <w:bCs/>
          <w:snapToGrid w:val="0"/>
          <w:color w:val="000000"/>
        </w:rPr>
        <w:t xml:space="preserve"> Порядок предоставления</w:t>
      </w:r>
      <w:r w:rsidR="00684F9A" w:rsidRPr="00CA1C61">
        <w:rPr>
          <w:b/>
          <w:bCs/>
        </w:rPr>
        <w:t xml:space="preserve"> </w:t>
      </w:r>
      <w:r w:rsidR="00684F9A" w:rsidRPr="00CA1C61">
        <w:rPr>
          <w:b/>
          <w:bCs/>
          <w:snapToGrid w:val="0"/>
          <w:color w:val="000000"/>
        </w:rPr>
        <w:t>информации Получателям финансовых услуг.</w:t>
      </w:r>
    </w:p>
    <w:p w14:paraId="5383BBF8" w14:textId="77777777" w:rsidR="00CB787C" w:rsidRPr="00CA1C61" w:rsidRDefault="00CB787C" w:rsidP="00033F04">
      <w:pPr>
        <w:ind w:left="720"/>
        <w:jc w:val="both"/>
        <w:rPr>
          <w:b/>
          <w:bCs/>
          <w:color w:val="000000"/>
          <w:spacing w:val="-3"/>
        </w:rPr>
      </w:pPr>
    </w:p>
    <w:p w14:paraId="42F1197C" w14:textId="77777777" w:rsidR="00345544" w:rsidRPr="00CA1C61" w:rsidRDefault="00345544" w:rsidP="00033F04">
      <w:pPr>
        <w:ind w:firstLine="708"/>
        <w:jc w:val="both"/>
        <w:rPr>
          <w:snapToGrid w:val="0"/>
          <w:color w:val="000000"/>
        </w:rPr>
      </w:pPr>
    </w:p>
    <w:p w14:paraId="7A4D2049" w14:textId="6B99E6E1" w:rsidR="000769A7" w:rsidRPr="00CA1C61" w:rsidRDefault="003878DF" w:rsidP="00C75565">
      <w:pPr>
        <w:ind w:firstLine="708"/>
        <w:jc w:val="both"/>
      </w:pPr>
      <w:r w:rsidRPr="00CA1C61">
        <w:t>2</w:t>
      </w:r>
      <w:r w:rsidR="000769A7" w:rsidRPr="00CA1C61">
        <w:t>.1. В местах, предназначенных для обслуживания Получателей финансовых услуг, а также на сайте Банка</w:t>
      </w:r>
      <w:r w:rsidR="00BD4CA7">
        <w:t>,</w:t>
      </w:r>
      <w:r w:rsidR="000769A7" w:rsidRPr="00CA1C61">
        <w:t xml:space="preserve"> </w:t>
      </w:r>
      <w:r w:rsidR="004F624B" w:rsidRPr="00CA1C61">
        <w:t>Банк</w:t>
      </w:r>
      <w:r w:rsidR="000769A7" w:rsidRPr="00CA1C61">
        <w:t xml:space="preserve"> предоставляет всем Получателям финансовых услуг для ознакомления следующую информацию (в том числе посредством размещения документов (гиперссылок на них)):</w:t>
      </w:r>
    </w:p>
    <w:p w14:paraId="25DC73D8" w14:textId="77777777" w:rsidR="008B701A" w:rsidRPr="00CA1C61" w:rsidRDefault="008B701A" w:rsidP="001C403C">
      <w:pPr>
        <w:ind w:firstLine="426"/>
        <w:jc w:val="both"/>
      </w:pPr>
    </w:p>
    <w:p w14:paraId="7BDC97EA" w14:textId="707A4DDB" w:rsidR="000769A7" w:rsidRPr="00CA1C61" w:rsidRDefault="008B701A" w:rsidP="001C403C">
      <w:pPr>
        <w:ind w:firstLine="708"/>
        <w:jc w:val="both"/>
      </w:pPr>
      <w:r w:rsidRPr="00CA1C61">
        <w:t>1)</w:t>
      </w:r>
      <w:r w:rsidR="001C403C" w:rsidRPr="00CA1C61">
        <w:t xml:space="preserve"> </w:t>
      </w:r>
      <w:r w:rsidR="000769A7" w:rsidRPr="00CA1C61">
        <w:t xml:space="preserve">о полном и сокращенном (при наличии) фирменных наименованиях </w:t>
      </w:r>
      <w:r w:rsidR="00524FCC" w:rsidRPr="00CA1C61">
        <w:t>Банка</w:t>
      </w:r>
      <w:r w:rsidR="000769A7" w:rsidRPr="00CA1C61">
        <w:t xml:space="preserve"> (в соответствии со сведениями, указанными в Едином государственном реестре юридических лиц),</w:t>
      </w:r>
    </w:p>
    <w:p w14:paraId="61BBF100" w14:textId="104D096E" w:rsidR="000769A7" w:rsidRPr="00CA1C61" w:rsidRDefault="001C403C" w:rsidP="001C403C">
      <w:pPr>
        <w:ind w:firstLine="708"/>
        <w:jc w:val="both"/>
      </w:pPr>
      <w:r w:rsidRPr="00CA1C61">
        <w:t xml:space="preserve">- </w:t>
      </w:r>
      <w:r w:rsidR="000769A7" w:rsidRPr="00CA1C61">
        <w:t>о лицензии на осуществление депозитарной деятельности, включая номер, дату выдачи и срок действия лицензии,</w:t>
      </w:r>
    </w:p>
    <w:p w14:paraId="021986FD" w14:textId="1B98A719" w:rsidR="000769A7" w:rsidRPr="00CA1C61" w:rsidRDefault="001C403C" w:rsidP="00602C92">
      <w:pPr>
        <w:ind w:firstLine="708"/>
        <w:jc w:val="both"/>
      </w:pPr>
      <w:r w:rsidRPr="00CA1C61">
        <w:t xml:space="preserve">- </w:t>
      </w:r>
      <w:r w:rsidR="000769A7" w:rsidRPr="00CA1C61">
        <w:t xml:space="preserve">о членстве в саморегулируемой организации (с указанием наименования такой саморегулируемой организации, адреса официального сайта саморегулируемой организации в информационно-телекоммуникационной сети </w:t>
      </w:r>
      <w:r w:rsidR="00BD4CA7">
        <w:t>«</w:t>
      </w:r>
      <w:r w:rsidR="000769A7" w:rsidRPr="00CA1C61">
        <w:t>Интернет</w:t>
      </w:r>
      <w:r w:rsidR="00BD4CA7">
        <w:t>»</w:t>
      </w:r>
      <w:r w:rsidR="00BD4CA7" w:rsidRPr="00CA1C61">
        <w:t>),</w:t>
      </w:r>
    </w:p>
    <w:p w14:paraId="285C404C" w14:textId="5E907678" w:rsidR="000769A7" w:rsidRPr="00CA1C61" w:rsidRDefault="001C403C" w:rsidP="001C403C">
      <w:pPr>
        <w:ind w:firstLine="708"/>
        <w:jc w:val="both"/>
      </w:pPr>
      <w:r w:rsidRPr="00CA1C61">
        <w:t xml:space="preserve">- </w:t>
      </w:r>
      <w:r w:rsidR="000769A7" w:rsidRPr="00CA1C61">
        <w:t>о Базовом стандарте,</w:t>
      </w:r>
    </w:p>
    <w:p w14:paraId="761B79C7" w14:textId="449C8D9F" w:rsidR="000769A7" w:rsidRPr="00CA1C61" w:rsidRDefault="00602C92" w:rsidP="00602C92">
      <w:pPr>
        <w:ind w:firstLine="708"/>
        <w:jc w:val="both"/>
      </w:pPr>
      <w:r w:rsidRPr="00CA1C61">
        <w:t xml:space="preserve">- </w:t>
      </w:r>
      <w:r w:rsidR="000769A7" w:rsidRPr="00CA1C61">
        <w:t xml:space="preserve">об адресе </w:t>
      </w:r>
      <w:r w:rsidR="00524FCC" w:rsidRPr="00CA1C61">
        <w:t>Банка</w:t>
      </w:r>
      <w:r w:rsidR="000769A7" w:rsidRPr="00CA1C61">
        <w:t xml:space="preserve">, об адресе электронной почты, контактном телефоне и об адресе сайта </w:t>
      </w:r>
      <w:r w:rsidR="004F624B" w:rsidRPr="00CA1C61">
        <w:t>Банка</w:t>
      </w:r>
      <w:r w:rsidR="000769A7" w:rsidRPr="00CA1C61">
        <w:t>;</w:t>
      </w:r>
    </w:p>
    <w:p w14:paraId="44F1D9A3" w14:textId="77777777" w:rsidR="008B701A" w:rsidRPr="00CA1C61" w:rsidRDefault="008B701A" w:rsidP="00602C92">
      <w:pPr>
        <w:ind w:firstLine="708"/>
        <w:jc w:val="both"/>
      </w:pPr>
    </w:p>
    <w:p w14:paraId="171BB3CB" w14:textId="4A4F2CC5" w:rsidR="000769A7" w:rsidRPr="00CA1C61" w:rsidRDefault="000769A7" w:rsidP="008B701A">
      <w:pPr>
        <w:ind w:firstLine="708"/>
        <w:jc w:val="both"/>
      </w:pPr>
      <w:r w:rsidRPr="00CA1C61">
        <w:t xml:space="preserve">2) о финансовых услугах и дополнительных услугах </w:t>
      </w:r>
      <w:r w:rsidR="004B6ACE">
        <w:t>Д</w:t>
      </w:r>
      <w:r w:rsidR="004B6ACE" w:rsidRPr="00CA1C61">
        <w:t>епозитария</w:t>
      </w:r>
      <w:r w:rsidRPr="00CA1C61">
        <w:t>, в том числе оказываемых за дополнительную плату;</w:t>
      </w:r>
    </w:p>
    <w:p w14:paraId="70D28B41" w14:textId="77777777" w:rsidR="008B701A" w:rsidRPr="00CA1C61" w:rsidRDefault="008B701A" w:rsidP="008B701A">
      <w:pPr>
        <w:ind w:firstLine="708"/>
        <w:jc w:val="both"/>
      </w:pPr>
    </w:p>
    <w:p w14:paraId="1CCD26D3" w14:textId="546033DC" w:rsidR="000769A7" w:rsidRPr="00CA1C61" w:rsidRDefault="000769A7" w:rsidP="008B701A">
      <w:pPr>
        <w:ind w:firstLine="708"/>
        <w:jc w:val="both"/>
      </w:pPr>
      <w:r w:rsidRPr="00CA1C61">
        <w:lastRenderedPageBreak/>
        <w:t>3) о порядке получения финансовой услуги, в том числе документах, связанных с оказанием финансовой услуги;</w:t>
      </w:r>
    </w:p>
    <w:p w14:paraId="09B256BE" w14:textId="77777777" w:rsidR="008B701A" w:rsidRPr="00CA1C61" w:rsidRDefault="008B701A" w:rsidP="008B701A">
      <w:pPr>
        <w:ind w:firstLine="708"/>
        <w:jc w:val="both"/>
      </w:pPr>
    </w:p>
    <w:p w14:paraId="05572959" w14:textId="4731208E" w:rsidR="000769A7" w:rsidRPr="00CA1C61" w:rsidRDefault="000769A7" w:rsidP="008B701A">
      <w:pPr>
        <w:ind w:firstLine="708"/>
        <w:jc w:val="both"/>
      </w:pPr>
      <w:r w:rsidRPr="00CA1C61">
        <w:t xml:space="preserve">4) об органе, осуществляющем полномочия по контролю и надзору за деятельностью </w:t>
      </w:r>
      <w:r w:rsidR="00ED772D">
        <w:t>Д</w:t>
      </w:r>
      <w:r w:rsidR="00ED772D" w:rsidRPr="00CA1C61">
        <w:t>епозитари</w:t>
      </w:r>
      <w:r w:rsidR="00ED772D">
        <w:t>я</w:t>
      </w:r>
      <w:r w:rsidRPr="00CA1C61">
        <w:t xml:space="preserve"> (с указанием наименования такого органа, адреса официального сайта в информационно-телекоммуникационной сети </w:t>
      </w:r>
      <w:r w:rsidR="004B6ACE">
        <w:t>«</w:t>
      </w:r>
      <w:r w:rsidRPr="00CA1C61">
        <w:t>Интернет</w:t>
      </w:r>
      <w:r w:rsidR="004B6ACE">
        <w:t>»</w:t>
      </w:r>
      <w:r w:rsidR="004B6ACE" w:rsidRPr="00CA1C61">
        <w:t>);</w:t>
      </w:r>
    </w:p>
    <w:p w14:paraId="057409EF" w14:textId="77777777" w:rsidR="008B701A" w:rsidRPr="00CA1C61" w:rsidRDefault="008B701A" w:rsidP="008B701A">
      <w:pPr>
        <w:ind w:firstLine="708"/>
        <w:jc w:val="both"/>
      </w:pPr>
    </w:p>
    <w:p w14:paraId="7BD9F3C0" w14:textId="11986467" w:rsidR="000769A7" w:rsidRPr="00CA1C61" w:rsidRDefault="000769A7" w:rsidP="008B701A">
      <w:pPr>
        <w:ind w:firstLine="708"/>
        <w:jc w:val="both"/>
      </w:pPr>
      <w:r w:rsidRPr="00CA1C61">
        <w:t xml:space="preserve">5) о способах и об адресах направления обращений (жалоб) в адрес </w:t>
      </w:r>
      <w:r w:rsidR="00227012">
        <w:t>Д</w:t>
      </w:r>
      <w:r w:rsidR="00227012" w:rsidRPr="00CA1C61">
        <w:t>епозитария</w:t>
      </w:r>
      <w:r w:rsidRPr="00CA1C61">
        <w:t xml:space="preserve">, саморегулируемой организации, органа, осуществляющего полномочия по контролю и надзору за деятельностью </w:t>
      </w:r>
      <w:r w:rsidR="00227012">
        <w:t>Д</w:t>
      </w:r>
      <w:r w:rsidR="00227012" w:rsidRPr="00CA1C61">
        <w:t>епозитария</w:t>
      </w:r>
      <w:r w:rsidRPr="00CA1C61">
        <w:t>;</w:t>
      </w:r>
    </w:p>
    <w:p w14:paraId="5B8E83EF" w14:textId="77777777" w:rsidR="008B701A" w:rsidRPr="00CA1C61" w:rsidRDefault="008B701A" w:rsidP="008B701A">
      <w:pPr>
        <w:ind w:firstLine="708"/>
        <w:jc w:val="both"/>
      </w:pPr>
    </w:p>
    <w:p w14:paraId="73690455" w14:textId="67551B81" w:rsidR="000769A7" w:rsidRPr="00CA1C61" w:rsidRDefault="000769A7" w:rsidP="008B701A">
      <w:pPr>
        <w:ind w:firstLine="708"/>
        <w:jc w:val="both"/>
      </w:pPr>
      <w:r w:rsidRPr="00CA1C61">
        <w:t>6) о способах защиты прав Получателя финансовых услуг, включая информацию о возможности и способах досудебного (внесудебного) урегулирования спора, в том числе о наличии претензионного порядка, процедуре медиации (при их наличии).</w:t>
      </w:r>
    </w:p>
    <w:p w14:paraId="470D1561" w14:textId="77777777" w:rsidR="00602C92" w:rsidRPr="00CA1C61" w:rsidRDefault="00602C92" w:rsidP="001C403C">
      <w:pPr>
        <w:pStyle w:val="af4"/>
        <w:ind w:left="1778" w:hanging="720"/>
        <w:jc w:val="both"/>
      </w:pPr>
    </w:p>
    <w:p w14:paraId="1ED82D30" w14:textId="1F6A4A30" w:rsidR="000769A7" w:rsidRPr="00CA1C61" w:rsidRDefault="003878DF" w:rsidP="001C403C">
      <w:pPr>
        <w:ind w:firstLine="708"/>
        <w:jc w:val="both"/>
      </w:pPr>
      <w:bookmarkStart w:id="2" w:name="P51"/>
      <w:bookmarkEnd w:id="2"/>
      <w:r w:rsidRPr="00CA1C61">
        <w:t>2</w:t>
      </w:r>
      <w:r w:rsidR="000769A7" w:rsidRPr="00CA1C61">
        <w:t xml:space="preserve">.2. </w:t>
      </w:r>
      <w:r w:rsidR="001C403C" w:rsidRPr="00CA1C61">
        <w:t>По</w:t>
      </w:r>
      <w:r w:rsidR="000769A7" w:rsidRPr="00CA1C61">
        <w:t xml:space="preserve"> запросу Получателя финансовых услуг </w:t>
      </w:r>
      <w:r w:rsidR="00AF00C7">
        <w:t>Банк</w:t>
      </w:r>
      <w:r w:rsidR="00AF00C7" w:rsidRPr="00CA1C61">
        <w:t xml:space="preserve"> </w:t>
      </w:r>
      <w:r w:rsidR="000769A7" w:rsidRPr="00CA1C61">
        <w:t xml:space="preserve">предоставляет информацию, указанную в </w:t>
      </w:r>
      <w:hyperlink w:anchor="P39" w:history="1">
        <w:r w:rsidR="000769A7" w:rsidRPr="00CA1C61">
          <w:t xml:space="preserve">пункте </w:t>
        </w:r>
        <w:r w:rsidRPr="00CA1C61">
          <w:t>2</w:t>
        </w:r>
        <w:r w:rsidR="000769A7" w:rsidRPr="00CA1C61">
          <w:t>.1</w:t>
        </w:r>
      </w:hyperlink>
      <w:r w:rsidR="000769A7" w:rsidRPr="00CA1C61">
        <w:t xml:space="preserve"> </w:t>
      </w:r>
      <w:r w:rsidR="001C403C" w:rsidRPr="00CA1C61">
        <w:t>настоящего Порядка</w:t>
      </w:r>
      <w:r w:rsidR="000769A7" w:rsidRPr="00CA1C61">
        <w:t xml:space="preserve">, а также документы и их копии, содержащие указанную информацию (при необходимости), по выбору </w:t>
      </w:r>
      <w:r w:rsidR="007544B1">
        <w:t>Банка</w:t>
      </w:r>
      <w:r w:rsidR="007544B1" w:rsidRPr="00CA1C61">
        <w:t xml:space="preserve"> </w:t>
      </w:r>
      <w:r w:rsidR="000769A7" w:rsidRPr="00CA1C61">
        <w:t>способом, которым был направлен такой запрос (если иное не указано в запросе), или почтовым отправлением (или иным способом, гарантирующим доставку ответа) в течение 15 (пятнадцати) рабочих дней со дня получения запроса.</w:t>
      </w:r>
    </w:p>
    <w:p w14:paraId="0C7ADF1F" w14:textId="77777777" w:rsidR="008B701A" w:rsidRPr="00CA1C61" w:rsidRDefault="008B701A" w:rsidP="001C403C">
      <w:pPr>
        <w:ind w:firstLine="708"/>
        <w:jc w:val="both"/>
      </w:pPr>
    </w:p>
    <w:p w14:paraId="664A4B19" w14:textId="55556044" w:rsidR="000769A7" w:rsidRPr="00CA1C61" w:rsidRDefault="003878DF" w:rsidP="00012292">
      <w:pPr>
        <w:ind w:firstLine="708"/>
        <w:jc w:val="both"/>
      </w:pPr>
      <w:bookmarkStart w:id="3" w:name="P52"/>
      <w:bookmarkEnd w:id="3"/>
      <w:r w:rsidRPr="00CA1C61">
        <w:t>2</w:t>
      </w:r>
      <w:r w:rsidR="000769A7" w:rsidRPr="00CA1C61">
        <w:t xml:space="preserve">.3. В случае если в соответствии с </w:t>
      </w:r>
      <w:hyperlink w:anchor="P51" w:history="1">
        <w:r w:rsidR="000769A7" w:rsidRPr="00CA1C61">
          <w:t xml:space="preserve">пунктом </w:t>
        </w:r>
        <w:r w:rsidRPr="00CA1C61">
          <w:t>2</w:t>
        </w:r>
        <w:r w:rsidR="000769A7" w:rsidRPr="00CA1C61">
          <w:t>.2</w:t>
        </w:r>
      </w:hyperlink>
      <w:r w:rsidR="00012292" w:rsidRPr="00CA1C61">
        <w:t>.</w:t>
      </w:r>
      <w:r w:rsidR="000769A7" w:rsidRPr="00CA1C61">
        <w:t xml:space="preserve"> </w:t>
      </w:r>
      <w:r w:rsidR="00012292" w:rsidRPr="00CA1C61">
        <w:t>Порядка</w:t>
      </w:r>
      <w:r w:rsidR="000769A7" w:rsidRPr="00CA1C61">
        <w:t xml:space="preserve"> запрашивается информация (документы) на бумажном носителе, предоставление которой предусматривает ее оплату, </w:t>
      </w:r>
      <w:r w:rsidR="00AF00C7">
        <w:t>Банк</w:t>
      </w:r>
      <w:r w:rsidR="00AF00C7" w:rsidRPr="00CA1C61">
        <w:t xml:space="preserve"> </w:t>
      </w:r>
      <w:r w:rsidR="000769A7" w:rsidRPr="00CA1C61">
        <w:t>предоставляет указанную информацию (документы) в течение 15 (пятнадцати) рабочих дней со дня получения платы.</w:t>
      </w:r>
    </w:p>
    <w:p w14:paraId="4B2FF4EB" w14:textId="475AE8AB" w:rsidR="000769A7" w:rsidRPr="00CA1C61" w:rsidRDefault="000769A7" w:rsidP="00012292">
      <w:pPr>
        <w:ind w:firstLine="708"/>
        <w:jc w:val="both"/>
      </w:pPr>
      <w:r w:rsidRPr="00CA1C61">
        <w:t xml:space="preserve">При этом плата, взимаемая за предоставление информации (документа) на бумажном носителе, не должна превышать затрат на ее изготовление и передачу. Копии документов, предоставляемые на бумажном носителе, заверяются работником </w:t>
      </w:r>
      <w:r w:rsidR="00AF00C7">
        <w:t>Банка</w:t>
      </w:r>
      <w:r w:rsidR="00AF00C7" w:rsidRPr="00CA1C61">
        <w:t xml:space="preserve"> </w:t>
      </w:r>
      <w:r w:rsidRPr="00CA1C61">
        <w:t>по требованию Получателя финансовых услуг.</w:t>
      </w:r>
    </w:p>
    <w:p w14:paraId="15B942C9" w14:textId="77777777" w:rsidR="00012292" w:rsidRPr="00CA1C61" w:rsidRDefault="00012292" w:rsidP="00012292">
      <w:pPr>
        <w:ind w:firstLine="708"/>
        <w:jc w:val="both"/>
      </w:pPr>
    </w:p>
    <w:p w14:paraId="09D3B85C" w14:textId="5C90B2D8" w:rsidR="000769A7" w:rsidRPr="00CA1C61" w:rsidRDefault="003878DF" w:rsidP="00012292">
      <w:pPr>
        <w:ind w:firstLine="708"/>
        <w:jc w:val="both"/>
      </w:pPr>
      <w:r w:rsidRPr="00CA1C61">
        <w:t>2</w:t>
      </w:r>
      <w:r w:rsidR="000769A7" w:rsidRPr="00CA1C61">
        <w:t xml:space="preserve">.4. Информация о размере либо порядке расчета вознаграждения </w:t>
      </w:r>
      <w:r w:rsidR="00ED772D">
        <w:t>Д</w:t>
      </w:r>
      <w:r w:rsidR="00ED772D" w:rsidRPr="00CA1C61">
        <w:t>епозитария</w:t>
      </w:r>
      <w:r w:rsidR="000769A7" w:rsidRPr="00CA1C61">
        <w:t xml:space="preserve">, иных видах и суммах платежей (порядке определения сумм платежей), которые </w:t>
      </w:r>
      <w:r w:rsidR="00FD32A7">
        <w:t>К</w:t>
      </w:r>
      <w:r w:rsidR="00FD32A7" w:rsidRPr="00CA1C61">
        <w:t>лиент</w:t>
      </w:r>
      <w:r w:rsidR="00652A9C">
        <w:t xml:space="preserve"> (</w:t>
      </w:r>
      <w:r w:rsidR="00FD32A7">
        <w:t>П</w:t>
      </w:r>
      <w:r w:rsidR="000769A7" w:rsidRPr="00CA1C61">
        <w:t>отенциальный клиент</w:t>
      </w:r>
      <w:r w:rsidR="00652A9C">
        <w:t>)</w:t>
      </w:r>
      <w:r w:rsidR="000769A7" w:rsidRPr="00CA1C61">
        <w:t xml:space="preserve"> должен будет уплатить за предоставление ему финансовой услуги, должна быть предоставлена в срок, не превышающий 30 (тридцати) рабочих дней со дня получения </w:t>
      </w:r>
      <w:r w:rsidR="00AF00C7">
        <w:t>Банком</w:t>
      </w:r>
      <w:r w:rsidR="00AF00C7" w:rsidRPr="00CA1C61">
        <w:t xml:space="preserve"> </w:t>
      </w:r>
      <w:r w:rsidR="000769A7" w:rsidRPr="00CA1C61">
        <w:t xml:space="preserve">соответствующего запроса. Такая информация по решению </w:t>
      </w:r>
      <w:r w:rsidR="00AF00C7">
        <w:t>Банка</w:t>
      </w:r>
      <w:r w:rsidR="00AF00C7" w:rsidRPr="00CA1C61">
        <w:t xml:space="preserve"> </w:t>
      </w:r>
      <w:r w:rsidR="000769A7" w:rsidRPr="00CA1C61">
        <w:t xml:space="preserve">может быть предоставлена путем ее размещения на </w:t>
      </w:r>
      <w:r w:rsidR="00ED772D">
        <w:t>С</w:t>
      </w:r>
      <w:r w:rsidR="000769A7" w:rsidRPr="00CA1C61">
        <w:t xml:space="preserve">айте </w:t>
      </w:r>
      <w:r w:rsidR="00AF00C7">
        <w:t>Банка</w:t>
      </w:r>
      <w:r w:rsidR="00AF00C7" w:rsidRPr="00CA1C61">
        <w:t xml:space="preserve"> </w:t>
      </w:r>
      <w:r w:rsidR="000769A7" w:rsidRPr="00CA1C61">
        <w:t xml:space="preserve">с направлением </w:t>
      </w:r>
      <w:r w:rsidR="00FD32A7">
        <w:t>К</w:t>
      </w:r>
      <w:r w:rsidR="00FD32A7" w:rsidRPr="00CA1C61">
        <w:t>лиенту</w:t>
      </w:r>
      <w:r w:rsidR="00652A9C">
        <w:t xml:space="preserve"> (</w:t>
      </w:r>
      <w:r w:rsidR="00FD32A7">
        <w:t>П</w:t>
      </w:r>
      <w:r w:rsidR="000769A7" w:rsidRPr="00CA1C61">
        <w:t>отенциальному клиенту</w:t>
      </w:r>
      <w:r w:rsidR="00652A9C">
        <w:t>)</w:t>
      </w:r>
      <w:r w:rsidR="000769A7" w:rsidRPr="00CA1C61">
        <w:t xml:space="preserve"> полного адреса страницы на </w:t>
      </w:r>
      <w:r w:rsidR="00ED772D">
        <w:t>С</w:t>
      </w:r>
      <w:r w:rsidR="000769A7" w:rsidRPr="00CA1C61">
        <w:t xml:space="preserve">айте </w:t>
      </w:r>
      <w:r w:rsidR="00ED772D">
        <w:t>Банка</w:t>
      </w:r>
      <w:r w:rsidR="000769A7" w:rsidRPr="00CA1C61">
        <w:t xml:space="preserve">, где размещена указанная информация, а также наименования раздела </w:t>
      </w:r>
      <w:r w:rsidR="00ED772D">
        <w:t>С</w:t>
      </w:r>
      <w:r w:rsidR="000769A7" w:rsidRPr="00CA1C61">
        <w:t xml:space="preserve">айта </w:t>
      </w:r>
      <w:r w:rsidR="00401C21">
        <w:t>Банка</w:t>
      </w:r>
      <w:r w:rsidR="000769A7" w:rsidRPr="00CA1C61">
        <w:t>, на котором она размещена (при наличии), если иное не предусмотрено запросом.</w:t>
      </w:r>
    </w:p>
    <w:p w14:paraId="2A5C192B" w14:textId="77777777" w:rsidR="00012292" w:rsidRPr="00CA1C61" w:rsidRDefault="00012292" w:rsidP="00012292">
      <w:pPr>
        <w:ind w:firstLine="708"/>
        <w:jc w:val="both"/>
      </w:pPr>
    </w:p>
    <w:p w14:paraId="1A5464DC" w14:textId="0428B0D8" w:rsidR="000769A7" w:rsidRPr="00CA1C61" w:rsidRDefault="003878DF" w:rsidP="00012292">
      <w:pPr>
        <w:ind w:firstLine="708"/>
        <w:jc w:val="both"/>
      </w:pPr>
      <w:bookmarkStart w:id="4" w:name="P55"/>
      <w:bookmarkEnd w:id="4"/>
      <w:r w:rsidRPr="00CA1C61">
        <w:t>2</w:t>
      </w:r>
      <w:r w:rsidR="000769A7" w:rsidRPr="00CA1C61">
        <w:t xml:space="preserve">.5. </w:t>
      </w:r>
      <w:r w:rsidR="00401C21">
        <w:t>Банк</w:t>
      </w:r>
      <w:r w:rsidR="00401C21" w:rsidRPr="00CA1C61">
        <w:t xml:space="preserve"> </w:t>
      </w:r>
      <w:r w:rsidR="000769A7" w:rsidRPr="00CA1C61">
        <w:t xml:space="preserve">по требованию предоставляет </w:t>
      </w:r>
      <w:r w:rsidR="00FD32A7">
        <w:t>Б</w:t>
      </w:r>
      <w:r w:rsidR="00FD32A7" w:rsidRPr="00CA1C61">
        <w:t xml:space="preserve">ывшим </w:t>
      </w:r>
      <w:r w:rsidR="000769A7" w:rsidRPr="00CA1C61">
        <w:t xml:space="preserve">клиентам и лицам, в пользу которых установлено обременение ценных бумаг, формы запросов о предоставлении информации, указанной в </w:t>
      </w:r>
      <w:hyperlink w:anchor="P39" w:history="1">
        <w:r w:rsidR="000769A7" w:rsidRPr="00CA1C61">
          <w:t xml:space="preserve">пункте </w:t>
        </w:r>
        <w:r w:rsidRPr="00CA1C61">
          <w:t>2</w:t>
        </w:r>
        <w:r w:rsidR="000769A7" w:rsidRPr="00CA1C61">
          <w:t>.1</w:t>
        </w:r>
      </w:hyperlink>
      <w:r w:rsidR="000769A7" w:rsidRPr="00CA1C61">
        <w:t xml:space="preserve"> </w:t>
      </w:r>
      <w:r w:rsidR="00012292" w:rsidRPr="00CA1C61">
        <w:t>Порядка</w:t>
      </w:r>
      <w:r w:rsidR="000769A7" w:rsidRPr="00CA1C61">
        <w:t xml:space="preserve">, а также информацию о стоимости услуг, оказываемых </w:t>
      </w:r>
      <w:r w:rsidR="00FD32A7">
        <w:t>Б</w:t>
      </w:r>
      <w:r w:rsidR="00FD32A7" w:rsidRPr="00CA1C61">
        <w:t xml:space="preserve">ывшим </w:t>
      </w:r>
      <w:r w:rsidR="000769A7" w:rsidRPr="00CA1C61">
        <w:t>клиентам и лицам, в пользу которых установлено обременение ценных бумаг.</w:t>
      </w:r>
    </w:p>
    <w:p w14:paraId="5AE91E2B" w14:textId="2814FC07" w:rsidR="000769A7" w:rsidRPr="00CA1C61" w:rsidRDefault="00401C21" w:rsidP="00012292">
      <w:pPr>
        <w:ind w:firstLine="708"/>
        <w:jc w:val="both"/>
      </w:pPr>
      <w:r>
        <w:t>Банк</w:t>
      </w:r>
      <w:r w:rsidRPr="00CA1C61">
        <w:t xml:space="preserve"> </w:t>
      </w:r>
      <w:r w:rsidR="000769A7" w:rsidRPr="00CA1C61">
        <w:t xml:space="preserve">по требованию предоставляет наследникам информацию о документах, необходимых для перехода права собственности на принадлежащие депоненту ценные бумаги по наследству к другим лицам в соответствии с завещанием или федеральным законом. </w:t>
      </w:r>
      <w:r>
        <w:t>Банк</w:t>
      </w:r>
      <w:r w:rsidRPr="00CA1C61">
        <w:t xml:space="preserve"> </w:t>
      </w:r>
      <w:r w:rsidR="000769A7" w:rsidRPr="00CA1C61">
        <w:t xml:space="preserve">предоставляет указанную информацию в офисах, предназначенных для приема Получателей финансовых услуг, и на </w:t>
      </w:r>
      <w:r w:rsidR="00ED772D">
        <w:t>С</w:t>
      </w:r>
      <w:r w:rsidR="00ED772D" w:rsidRPr="00CA1C61">
        <w:t xml:space="preserve">айте </w:t>
      </w:r>
      <w:r w:rsidR="00012292" w:rsidRPr="00CA1C61">
        <w:t>Банка</w:t>
      </w:r>
      <w:r w:rsidR="000769A7" w:rsidRPr="00CA1C61">
        <w:t>.</w:t>
      </w:r>
    </w:p>
    <w:p w14:paraId="0C65859E" w14:textId="77777777" w:rsidR="00012292" w:rsidRPr="00CA1C61" w:rsidRDefault="00012292" w:rsidP="00012292">
      <w:pPr>
        <w:ind w:firstLine="708"/>
        <w:jc w:val="both"/>
      </w:pPr>
    </w:p>
    <w:p w14:paraId="3C374F48" w14:textId="48155CCD" w:rsidR="000769A7" w:rsidRPr="00CA1C61" w:rsidRDefault="00F11978" w:rsidP="00012292">
      <w:pPr>
        <w:ind w:firstLine="708"/>
        <w:jc w:val="both"/>
      </w:pPr>
      <w:r w:rsidRPr="00CA1C61">
        <w:t>2</w:t>
      </w:r>
      <w:r w:rsidR="000769A7" w:rsidRPr="00CA1C61">
        <w:t>.6. Распространение информац</w:t>
      </w:r>
      <w:r w:rsidR="00DF65C8">
        <w:t>ии Банком</w:t>
      </w:r>
      <w:r w:rsidR="00DF65C8" w:rsidRPr="00CA1C61">
        <w:t xml:space="preserve"> и третьим лицом, действующим</w:t>
      </w:r>
      <w:r w:rsidR="00DF65C8">
        <w:t xml:space="preserve"> </w:t>
      </w:r>
      <w:r w:rsidR="00DF65C8" w:rsidRPr="00CA1C61">
        <w:t xml:space="preserve">по поручению </w:t>
      </w:r>
      <w:r w:rsidR="00DF65C8">
        <w:t>Банка</w:t>
      </w:r>
      <w:r w:rsidR="00DF65C8" w:rsidRPr="00CA1C61">
        <w:t xml:space="preserve">, </w:t>
      </w:r>
      <w:r w:rsidR="000769A7" w:rsidRPr="00CA1C61">
        <w:t>от его имени и за его счет, в том числе реклама услуг, должно быть основано на принципах добросовестности, достоверности и полноты сообщаемых сведений.</w:t>
      </w:r>
    </w:p>
    <w:p w14:paraId="07E6AACB" w14:textId="77777777" w:rsidR="00012292" w:rsidRPr="00CA1C61" w:rsidRDefault="00012292" w:rsidP="00012292">
      <w:pPr>
        <w:ind w:firstLine="708"/>
        <w:jc w:val="both"/>
      </w:pPr>
    </w:p>
    <w:p w14:paraId="30E95A12" w14:textId="76961084" w:rsidR="000769A7" w:rsidRPr="00CA1C61" w:rsidRDefault="00F11978" w:rsidP="00012292">
      <w:pPr>
        <w:ind w:firstLine="708"/>
        <w:jc w:val="both"/>
      </w:pPr>
      <w:r w:rsidRPr="00CA1C61">
        <w:t>2</w:t>
      </w:r>
      <w:r w:rsidR="000769A7" w:rsidRPr="00CA1C61">
        <w:t xml:space="preserve">.7. Не допускается предоставление Получателю финансовых услуг информации, которая может повлечь неоднозначное толкование свойств финансовой услуги, а также предоставление информации, которая вводит </w:t>
      </w:r>
      <w:r w:rsidR="00FD32A7">
        <w:t>П</w:t>
      </w:r>
      <w:r w:rsidR="00FD32A7" w:rsidRPr="00CA1C61">
        <w:t xml:space="preserve">отенциального </w:t>
      </w:r>
      <w:r w:rsidR="000769A7" w:rsidRPr="00CA1C61">
        <w:t>клиента в заблуждение относительно предмета заключаемого с ним договора.</w:t>
      </w:r>
    </w:p>
    <w:p w14:paraId="3842D2B1" w14:textId="77777777" w:rsidR="00012292" w:rsidRPr="00CA1C61" w:rsidRDefault="00012292" w:rsidP="00012292">
      <w:pPr>
        <w:ind w:firstLine="708"/>
        <w:jc w:val="both"/>
      </w:pPr>
    </w:p>
    <w:p w14:paraId="03312103" w14:textId="2E559E75" w:rsidR="000769A7" w:rsidRPr="00CA1C61" w:rsidRDefault="00F11978" w:rsidP="00012292">
      <w:pPr>
        <w:ind w:firstLine="708"/>
        <w:jc w:val="both"/>
      </w:pPr>
      <w:r w:rsidRPr="00CA1C61">
        <w:t>2</w:t>
      </w:r>
      <w:r w:rsidR="000769A7" w:rsidRPr="00CA1C61">
        <w:t xml:space="preserve">.8. Информация предоставляется на русском языке в доступной форме (с использованием удобочитаемых шрифтов, форматов в случае предоставления информации на бумажном носителе) с разъяснением специальных терминов (в случае их наличия), значения которых не определены в федеральных законах и принятых в соответствии с ними нормативных актах. В случае предоставления информации на бумажном носителе </w:t>
      </w:r>
      <w:r w:rsidR="007D09DA">
        <w:t>Банк</w:t>
      </w:r>
      <w:r w:rsidR="007D09DA" w:rsidRPr="00CA1C61">
        <w:t xml:space="preserve"> </w:t>
      </w:r>
      <w:r w:rsidR="000769A7" w:rsidRPr="00CA1C61">
        <w:t>руководствуется гигиеническими требованиями к книжным, журнальным и газетным изданиям.</w:t>
      </w:r>
    </w:p>
    <w:p w14:paraId="0ECC139C" w14:textId="25ACBFA7" w:rsidR="000769A7" w:rsidRPr="00CA1C61" w:rsidRDefault="000769A7" w:rsidP="00012292">
      <w:pPr>
        <w:ind w:firstLine="708"/>
        <w:jc w:val="both"/>
      </w:pPr>
      <w:r w:rsidRPr="00CA1C61">
        <w:t xml:space="preserve">Документы, содержащие информацию об иностранных финансовых инструментах, в том числе включающие описание прав, предоставляемых (закрепляемых, удостоверяемых) такими иностранными финансовыми инструментами, по решению </w:t>
      </w:r>
      <w:r w:rsidR="007D09DA">
        <w:t>Банка</w:t>
      </w:r>
      <w:r w:rsidR="007D09DA" w:rsidRPr="00CA1C61">
        <w:t xml:space="preserve"> </w:t>
      </w:r>
      <w:r w:rsidRPr="00CA1C61">
        <w:t>предоставляются на используемом на финансовом рынке иностранном языке без перевода на русский язык, за исключением случаев, когда законодательством Российской Федерации установлено требование о предоставлении таких документов с переводом на русский язык.</w:t>
      </w:r>
    </w:p>
    <w:p w14:paraId="7EAB498F" w14:textId="77777777" w:rsidR="00012292" w:rsidRPr="00CA1C61" w:rsidRDefault="00012292" w:rsidP="00012292">
      <w:pPr>
        <w:ind w:firstLine="708"/>
        <w:jc w:val="both"/>
      </w:pPr>
    </w:p>
    <w:p w14:paraId="4618FEE5" w14:textId="6F4138A4" w:rsidR="000769A7" w:rsidRPr="00CA1C61" w:rsidRDefault="00F11978" w:rsidP="00012292">
      <w:pPr>
        <w:ind w:firstLine="708"/>
        <w:jc w:val="both"/>
      </w:pPr>
      <w:r w:rsidRPr="00CA1C61">
        <w:t>2</w:t>
      </w:r>
      <w:r w:rsidR="000769A7" w:rsidRPr="00CA1C61">
        <w:t xml:space="preserve">.9. </w:t>
      </w:r>
      <w:r w:rsidR="00AF00C7">
        <w:t>Банк</w:t>
      </w:r>
      <w:r w:rsidR="00AF00C7" w:rsidRPr="00CA1C61">
        <w:t xml:space="preserve"> </w:t>
      </w:r>
      <w:r w:rsidR="000769A7" w:rsidRPr="00CA1C61">
        <w:t xml:space="preserve">обеспечивает предоставление информации, указанной в </w:t>
      </w:r>
      <w:hyperlink w:anchor="P39" w:history="1">
        <w:r w:rsidR="000769A7" w:rsidRPr="00CA1C61">
          <w:t xml:space="preserve">п. </w:t>
        </w:r>
        <w:r w:rsidRPr="00CA1C61">
          <w:t>2</w:t>
        </w:r>
        <w:r w:rsidR="000769A7" w:rsidRPr="00CA1C61">
          <w:t>.1</w:t>
        </w:r>
      </w:hyperlink>
      <w:r w:rsidR="000769A7" w:rsidRPr="00CA1C61">
        <w:t xml:space="preserve"> </w:t>
      </w:r>
      <w:r w:rsidR="00012292" w:rsidRPr="00CA1C61">
        <w:t>Порядка</w:t>
      </w:r>
      <w:r w:rsidR="000769A7" w:rsidRPr="00CA1C61">
        <w:t xml:space="preserve">, всем Получателям финансовых услуг без затрат, необходимости совершения дополнительных действий, не предусмотренных законодательством Российской Федерации, при этом порядок предоставления информации </w:t>
      </w:r>
      <w:r w:rsidR="007D09DA">
        <w:t>Банком</w:t>
      </w:r>
      <w:r w:rsidR="007D09DA" w:rsidRPr="00CA1C61">
        <w:t xml:space="preserve"> </w:t>
      </w:r>
      <w:r w:rsidR="000769A7" w:rsidRPr="00CA1C61">
        <w:t>должен обеспечивать недискриминационный характер доступа к информации на равных правах и в равном объеме.</w:t>
      </w:r>
    </w:p>
    <w:p w14:paraId="53A050EB" w14:textId="77777777" w:rsidR="00012292" w:rsidRPr="00CA1C61" w:rsidRDefault="00012292" w:rsidP="00012292">
      <w:pPr>
        <w:ind w:firstLine="708"/>
        <w:jc w:val="both"/>
      </w:pPr>
    </w:p>
    <w:p w14:paraId="47F78303" w14:textId="28E0CD32" w:rsidR="000769A7" w:rsidRPr="00CA1C61" w:rsidRDefault="00F11978" w:rsidP="00012292">
      <w:pPr>
        <w:ind w:firstLine="708"/>
        <w:jc w:val="both"/>
      </w:pPr>
      <w:r w:rsidRPr="00CA1C61">
        <w:t>2</w:t>
      </w:r>
      <w:r w:rsidR="000769A7" w:rsidRPr="00CA1C61">
        <w:t xml:space="preserve">.10. Информация, размещенная на </w:t>
      </w:r>
      <w:r w:rsidR="00A340C6">
        <w:t>С</w:t>
      </w:r>
      <w:r w:rsidR="00A340C6" w:rsidRPr="00CA1C61">
        <w:t xml:space="preserve">айте </w:t>
      </w:r>
      <w:r w:rsidR="00012292" w:rsidRPr="00CA1C61">
        <w:t>Банка</w:t>
      </w:r>
      <w:r w:rsidR="000769A7" w:rsidRPr="00CA1C61">
        <w:t xml:space="preserve">, доступна круглосуточно и бесплатно всем Получателям финансовых услуг для ознакомления и использования, за исключением времени проведения профилактических работ, во время которых </w:t>
      </w:r>
      <w:r w:rsidR="00A340C6">
        <w:t>С</w:t>
      </w:r>
      <w:r w:rsidR="00A340C6" w:rsidRPr="00CA1C61">
        <w:t xml:space="preserve">айт </w:t>
      </w:r>
      <w:r w:rsidR="008B5AF1" w:rsidRPr="00CA1C61">
        <w:t>Банка</w:t>
      </w:r>
      <w:r w:rsidR="000769A7" w:rsidRPr="00CA1C61">
        <w:t xml:space="preserve"> не доступен для посещения. Информация доступна с использованием бесплатного или широко распространенного программного обеспечения.</w:t>
      </w:r>
    </w:p>
    <w:p w14:paraId="722D9BBD" w14:textId="0305C05D" w:rsidR="008B5AF1" w:rsidRPr="008B5AF1" w:rsidRDefault="00F11978" w:rsidP="008B5AF1">
      <w:pPr>
        <w:widowControl w:val="0"/>
        <w:autoSpaceDE w:val="0"/>
        <w:autoSpaceDN w:val="0"/>
        <w:spacing w:before="280"/>
        <w:jc w:val="center"/>
        <w:outlineLvl w:val="0"/>
        <w:rPr>
          <w:b/>
        </w:rPr>
      </w:pPr>
      <w:r w:rsidRPr="00CA1C61">
        <w:rPr>
          <w:b/>
        </w:rPr>
        <w:t>3</w:t>
      </w:r>
      <w:r w:rsidR="008B5AF1" w:rsidRPr="008B5AF1">
        <w:rPr>
          <w:b/>
        </w:rPr>
        <w:t>. Правила взаимодействия с Получателями</w:t>
      </w:r>
      <w:r w:rsidR="008B5AF1" w:rsidRPr="00CA1C61">
        <w:rPr>
          <w:b/>
        </w:rPr>
        <w:t xml:space="preserve"> </w:t>
      </w:r>
      <w:r w:rsidR="008B5AF1" w:rsidRPr="008B5AF1">
        <w:rPr>
          <w:b/>
        </w:rPr>
        <w:t>финансовых услуг</w:t>
      </w:r>
      <w:r w:rsidR="008507B8" w:rsidRPr="00CA1C61">
        <w:rPr>
          <w:b/>
        </w:rPr>
        <w:t>.</w:t>
      </w:r>
    </w:p>
    <w:p w14:paraId="6806E34D" w14:textId="7510D66F" w:rsidR="008B5AF1" w:rsidRPr="008B5AF1" w:rsidRDefault="00F11978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CA1C61">
        <w:t>3</w:t>
      </w:r>
      <w:r w:rsidR="008B5AF1" w:rsidRPr="008B5AF1">
        <w:t>.</w:t>
      </w:r>
      <w:r w:rsidR="008B5AF1" w:rsidRPr="00CA1C61">
        <w:t>1.</w:t>
      </w:r>
      <w:r w:rsidR="008B5AF1" w:rsidRPr="008B5AF1">
        <w:t xml:space="preserve"> </w:t>
      </w:r>
      <w:r w:rsidR="004C5266" w:rsidRPr="00CA1C61">
        <w:t>Банк</w:t>
      </w:r>
      <w:r w:rsidR="008B5AF1" w:rsidRPr="008B5AF1">
        <w:t xml:space="preserve"> осуществляет информирование </w:t>
      </w:r>
      <w:r w:rsidR="00FD32A7">
        <w:t>К</w:t>
      </w:r>
      <w:r w:rsidR="00FD32A7" w:rsidRPr="008B5AF1">
        <w:t xml:space="preserve">лиентов </w:t>
      </w:r>
      <w:r w:rsidR="008B5AF1" w:rsidRPr="008B5AF1">
        <w:t>об изменении условий осуществления депозитарной деятельности</w:t>
      </w:r>
      <w:r w:rsidR="004C5266" w:rsidRPr="00CA1C61">
        <w:t xml:space="preserve"> и</w:t>
      </w:r>
      <w:r w:rsidR="008B5AF1" w:rsidRPr="008B5AF1">
        <w:t xml:space="preserve"> осуществляет информирование </w:t>
      </w:r>
      <w:r w:rsidR="00FD32A7">
        <w:t>К</w:t>
      </w:r>
      <w:r w:rsidR="00FD32A7" w:rsidRPr="008B5AF1">
        <w:t xml:space="preserve">лиентов </w:t>
      </w:r>
      <w:r w:rsidR="008B5AF1" w:rsidRPr="008B5AF1">
        <w:t>о способах и порядке изменения условий договора об оказании финансовых услуг.</w:t>
      </w:r>
    </w:p>
    <w:p w14:paraId="6B4AFF9A" w14:textId="2080DBDD" w:rsidR="008B5AF1" w:rsidRPr="008B5AF1" w:rsidRDefault="00F11978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CA1C61">
        <w:t>3</w:t>
      </w:r>
      <w:r w:rsidR="008B5AF1" w:rsidRPr="008B5AF1">
        <w:t>.</w:t>
      </w:r>
      <w:r w:rsidR="008B5AF1" w:rsidRPr="00CA1C61">
        <w:t>2</w:t>
      </w:r>
      <w:r w:rsidR="008B5AF1" w:rsidRPr="008B5AF1">
        <w:t xml:space="preserve">. </w:t>
      </w:r>
      <w:r w:rsidR="004C5266" w:rsidRPr="00CA1C61">
        <w:t>Банк</w:t>
      </w:r>
      <w:r w:rsidR="008B5AF1" w:rsidRPr="008B5AF1">
        <w:t xml:space="preserve"> исключает препятствия к осуществлению </w:t>
      </w:r>
      <w:r w:rsidR="00FD32A7">
        <w:t>К</w:t>
      </w:r>
      <w:r w:rsidR="00FD32A7" w:rsidRPr="008B5AF1">
        <w:t>лиентом</w:t>
      </w:r>
      <w:r w:rsidR="00652A9C">
        <w:t xml:space="preserve"> (</w:t>
      </w:r>
      <w:r w:rsidR="00FD32A7">
        <w:t>П</w:t>
      </w:r>
      <w:r w:rsidR="008B5AF1" w:rsidRPr="008B5AF1">
        <w:t>отенциальным клиентом</w:t>
      </w:r>
      <w:r w:rsidR="00652A9C">
        <w:t>)</w:t>
      </w:r>
      <w:r w:rsidR="008B5AF1" w:rsidRPr="008B5AF1">
        <w:t xml:space="preserve"> в местах, предназначенных для обслуживания Получателей финансовых услуг, фотосъемки, аудио- и видеозаписи процесса взаимодействия с таким </w:t>
      </w:r>
      <w:r w:rsidR="00FD32A7">
        <w:t>К</w:t>
      </w:r>
      <w:r w:rsidR="00FD32A7" w:rsidRPr="008B5AF1">
        <w:t>лиентом</w:t>
      </w:r>
      <w:r w:rsidR="00652A9C">
        <w:t xml:space="preserve"> (</w:t>
      </w:r>
      <w:r w:rsidR="00FD32A7">
        <w:t>П</w:t>
      </w:r>
      <w:r w:rsidR="008B5AF1" w:rsidRPr="008B5AF1">
        <w:t>отенциальным клиентом</w:t>
      </w:r>
      <w:r w:rsidR="00652A9C">
        <w:t>)</w:t>
      </w:r>
      <w:r w:rsidR="008B5AF1" w:rsidRPr="008B5AF1">
        <w:t xml:space="preserve">, за исключением случаев, когда это может привести к нарушению законодательства Российской Федерации. В случаях, когда фотосъемка, аудио- и видеозапись может привести к нарушению законодательства Российской Федерации, </w:t>
      </w:r>
      <w:r w:rsidR="004C5266" w:rsidRPr="00CA1C61">
        <w:t>Банк</w:t>
      </w:r>
      <w:r w:rsidR="008B5AF1" w:rsidRPr="008B5AF1">
        <w:t xml:space="preserve"> фиксирует для </w:t>
      </w:r>
      <w:r w:rsidR="00FD32A7">
        <w:t>К</w:t>
      </w:r>
      <w:r w:rsidR="00FD32A7" w:rsidRPr="008B5AF1">
        <w:t>лиента</w:t>
      </w:r>
      <w:r w:rsidR="00652A9C">
        <w:t xml:space="preserve"> (</w:t>
      </w:r>
      <w:r w:rsidR="00FD32A7">
        <w:t>П</w:t>
      </w:r>
      <w:r w:rsidR="008B5AF1" w:rsidRPr="008B5AF1">
        <w:t>отенциального клиента</w:t>
      </w:r>
      <w:r w:rsidR="00652A9C">
        <w:t>)</w:t>
      </w:r>
      <w:r w:rsidR="008B5AF1" w:rsidRPr="008B5AF1">
        <w:t xml:space="preserve"> факт </w:t>
      </w:r>
      <w:r w:rsidR="008B5AF1" w:rsidRPr="008B5AF1">
        <w:lastRenderedPageBreak/>
        <w:t xml:space="preserve">невозможности их проведения и сообщает в устной форме мотивированную причину. По запросу </w:t>
      </w:r>
      <w:r w:rsidR="00FD32A7">
        <w:t>К</w:t>
      </w:r>
      <w:r w:rsidR="00FD32A7" w:rsidRPr="008B5AF1">
        <w:t>лиента</w:t>
      </w:r>
      <w:r w:rsidR="00652A9C">
        <w:t xml:space="preserve"> (</w:t>
      </w:r>
      <w:r w:rsidR="00FD32A7">
        <w:t>П</w:t>
      </w:r>
      <w:r w:rsidR="008B5AF1" w:rsidRPr="008B5AF1">
        <w:t>отенциального клиента</w:t>
      </w:r>
      <w:r w:rsidR="00652A9C">
        <w:t>)</w:t>
      </w:r>
      <w:r w:rsidR="008B5AF1" w:rsidRPr="008B5AF1">
        <w:t xml:space="preserve"> </w:t>
      </w:r>
      <w:r w:rsidR="004C5266" w:rsidRPr="00CA1C61">
        <w:t>Банк</w:t>
      </w:r>
      <w:r w:rsidR="008B5AF1" w:rsidRPr="008B5AF1">
        <w:t xml:space="preserve"> предоставляет способом, указанным в </w:t>
      </w:r>
      <w:hyperlink w:anchor="P51" w:history="1">
        <w:r w:rsidR="008B5AF1" w:rsidRPr="008B5AF1">
          <w:t xml:space="preserve">пункте </w:t>
        </w:r>
        <w:r w:rsidRPr="00CA1C61">
          <w:t>2</w:t>
        </w:r>
        <w:r w:rsidR="008B5AF1" w:rsidRPr="008B5AF1">
          <w:t>.2</w:t>
        </w:r>
      </w:hyperlink>
      <w:r w:rsidR="008B5AF1" w:rsidRPr="008B5AF1">
        <w:t xml:space="preserve"> </w:t>
      </w:r>
      <w:r w:rsidR="008B5AF1" w:rsidRPr="00CA1C61">
        <w:t>Порядка</w:t>
      </w:r>
      <w:r w:rsidR="008B5AF1" w:rsidRPr="008B5AF1">
        <w:t>, письменное заключение о причине отказа в фотосъемке, аудио- и (или) видеозаписи.</w:t>
      </w:r>
    </w:p>
    <w:p w14:paraId="373CA6BD" w14:textId="4BACC663" w:rsidR="008B5AF1" w:rsidRPr="008B5AF1" w:rsidRDefault="00F11978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CA1C61">
        <w:t>3</w:t>
      </w:r>
      <w:r w:rsidR="008B5AF1" w:rsidRPr="008B5AF1">
        <w:t>.</w:t>
      </w:r>
      <w:r w:rsidR="008B5AF1" w:rsidRPr="00CA1C61">
        <w:t>3</w:t>
      </w:r>
      <w:r w:rsidR="008B5AF1" w:rsidRPr="008B5AF1">
        <w:t xml:space="preserve">. </w:t>
      </w:r>
      <w:r w:rsidR="004C5266" w:rsidRPr="00CA1C61">
        <w:t>Банк обеспечивает</w:t>
      </w:r>
      <w:r w:rsidR="008B5AF1" w:rsidRPr="008B5AF1">
        <w:t xml:space="preserve"> возможность оказания финансовых услуг Получателям финансовых услуг с ограниченными возможностями с учетом требований законодательства Российской Федерации о социальной защите инвалидов, включая допуск сурдопереводчика и тифлосурдопереводчика, возможность увеличения и звукового воспроизведения текста договора об оказании финансовой услуги и иных документов, подписываемых Получателями финансовых услуг, возможность печати документов с использованием увеличенного размера шрифта, оказание иной помощи в преодолении барьеров, препятствующих получению лицами с ограниченными возможностями информации о </w:t>
      </w:r>
      <w:r w:rsidR="007544B1">
        <w:t>Д</w:t>
      </w:r>
      <w:r w:rsidR="007544B1" w:rsidRPr="008B5AF1">
        <w:t xml:space="preserve">епозитарии </w:t>
      </w:r>
      <w:r w:rsidR="008B5AF1" w:rsidRPr="008B5AF1">
        <w:t>и финансовых услугах наравне с другими лицами.</w:t>
      </w:r>
    </w:p>
    <w:p w14:paraId="2CD57ACD" w14:textId="78FD7C40" w:rsidR="008B5AF1" w:rsidRPr="008B5AF1" w:rsidRDefault="00F11978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CA1C61">
        <w:t>3</w:t>
      </w:r>
      <w:r w:rsidR="008B5AF1" w:rsidRPr="008B5AF1">
        <w:t>.</w:t>
      </w:r>
      <w:r w:rsidR="004C5266" w:rsidRPr="00CA1C61">
        <w:t>4</w:t>
      </w:r>
      <w:r w:rsidR="008B5AF1" w:rsidRPr="008B5AF1">
        <w:t xml:space="preserve">. В процессе оказания финансовых услуг </w:t>
      </w:r>
      <w:r w:rsidR="004C5266" w:rsidRPr="00CA1C61">
        <w:t>Банк</w:t>
      </w:r>
      <w:r w:rsidR="008B5AF1" w:rsidRPr="008B5AF1">
        <w:t xml:space="preserve"> обеспечивает соблюдение в офисах, предназначенных для приема Получателей финансовых услуг и оказания им финансовых услуг, минимальных стандартов обслуживания, касающихся доступности и материального обеспечения офисов </w:t>
      </w:r>
      <w:r w:rsidR="004C5266" w:rsidRPr="00CA1C61">
        <w:t>Банка</w:t>
      </w:r>
      <w:r w:rsidR="008B5AF1" w:rsidRPr="008B5AF1">
        <w:t>, в том числе:</w:t>
      </w:r>
    </w:p>
    <w:p w14:paraId="14D4D1A8" w14:textId="41C23A63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 xml:space="preserve">1) размещение в офисе </w:t>
      </w:r>
      <w:r w:rsidR="004C5266" w:rsidRPr="00CA1C61">
        <w:t>Банка</w:t>
      </w:r>
      <w:r w:rsidRPr="008B5AF1">
        <w:t>, предназначенном для приема Получателей финансовых услуг, информации о наименовании и адресе данного офиса, днях и часах приема Получателей финансовых услуг и времени перерыва;</w:t>
      </w:r>
    </w:p>
    <w:p w14:paraId="437BE2F0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2) наличие у работников, лично взаимодействующих с Получателями финансовых услуг в процессе оказания финансовых услуг, доступных для обозрения средств визуальной идентификации, содержащих фамилию, имя и должность работника;</w:t>
      </w:r>
    </w:p>
    <w:p w14:paraId="02BDE0EA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3) соответствие офиса установленным санитарным и техническим правилам и нормам.</w:t>
      </w:r>
    </w:p>
    <w:p w14:paraId="496A2EAC" w14:textId="51058DDF" w:rsidR="008B5AF1" w:rsidRPr="008B5AF1" w:rsidRDefault="00F11978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CA1C61">
        <w:t>3</w:t>
      </w:r>
      <w:r w:rsidR="008B5AF1" w:rsidRPr="008B5AF1">
        <w:t>.</w:t>
      </w:r>
      <w:r w:rsidR="004C5266" w:rsidRPr="00CA1C61">
        <w:t>5</w:t>
      </w:r>
      <w:r w:rsidR="008B5AF1" w:rsidRPr="008B5AF1">
        <w:t xml:space="preserve">. В случае привлечения </w:t>
      </w:r>
      <w:r w:rsidR="004C5266" w:rsidRPr="00CA1C61">
        <w:t>Банком</w:t>
      </w:r>
      <w:r w:rsidR="008B5AF1" w:rsidRPr="008B5AF1">
        <w:t xml:space="preserve"> третьих лиц, действующих по поручению, от имени и за счет </w:t>
      </w:r>
      <w:r w:rsidR="004C5266" w:rsidRPr="00CA1C61">
        <w:t>Банка</w:t>
      </w:r>
      <w:r w:rsidR="008B5AF1" w:rsidRPr="008B5AF1">
        <w:t xml:space="preserve">, для заключения договоров об оказании финансовых услуг, </w:t>
      </w:r>
      <w:r w:rsidR="007D09DA">
        <w:t>Банк</w:t>
      </w:r>
      <w:r w:rsidR="007D09DA" w:rsidRPr="008B5AF1">
        <w:t xml:space="preserve"> </w:t>
      </w:r>
      <w:r w:rsidR="008B5AF1" w:rsidRPr="008B5AF1">
        <w:t xml:space="preserve">обеспечивает соблюдение такими третьими лицами требований </w:t>
      </w:r>
      <w:hyperlink w:anchor="P37" w:history="1">
        <w:r w:rsidR="008B5AF1" w:rsidRPr="008B5AF1">
          <w:t>разделов 2</w:t>
        </w:r>
      </w:hyperlink>
      <w:r w:rsidR="008B5AF1" w:rsidRPr="008B5AF1">
        <w:t xml:space="preserve">, </w:t>
      </w:r>
      <w:hyperlink w:anchor="P68" w:history="1">
        <w:r w:rsidR="008B5AF1" w:rsidRPr="008B5AF1">
          <w:t>3</w:t>
        </w:r>
      </w:hyperlink>
      <w:r w:rsidR="008B5AF1" w:rsidRPr="008B5AF1">
        <w:t xml:space="preserve"> и </w:t>
      </w:r>
      <w:hyperlink w:anchor="P84" w:history="1">
        <w:r w:rsidR="008B5AF1" w:rsidRPr="008B5AF1">
          <w:t>4</w:t>
        </w:r>
      </w:hyperlink>
      <w:r w:rsidR="008B5AF1" w:rsidRPr="008B5AF1">
        <w:t xml:space="preserve"> </w:t>
      </w:r>
      <w:r w:rsidR="003878DF" w:rsidRPr="00CA1C61">
        <w:t>Порядка</w:t>
      </w:r>
      <w:r w:rsidR="008B5AF1" w:rsidRPr="008B5AF1">
        <w:t>.</w:t>
      </w:r>
    </w:p>
    <w:p w14:paraId="1C09FA0A" w14:textId="2B18BDF1" w:rsidR="008B5AF1" w:rsidRPr="008B5AF1" w:rsidRDefault="008B5AF1" w:rsidP="00225273">
      <w:pPr>
        <w:widowControl w:val="0"/>
        <w:autoSpaceDE w:val="0"/>
        <w:autoSpaceDN w:val="0"/>
        <w:spacing w:before="280"/>
        <w:jc w:val="center"/>
        <w:outlineLvl w:val="0"/>
        <w:rPr>
          <w:b/>
        </w:rPr>
      </w:pPr>
      <w:bookmarkStart w:id="5" w:name="P84"/>
      <w:bookmarkEnd w:id="5"/>
      <w:r w:rsidRPr="008B5AF1">
        <w:rPr>
          <w:b/>
        </w:rPr>
        <w:t xml:space="preserve">4. </w:t>
      </w:r>
      <w:r w:rsidR="00225273" w:rsidRPr="00CA1C61">
        <w:rPr>
          <w:b/>
        </w:rPr>
        <w:t>Порядок</w:t>
      </w:r>
      <w:r w:rsidRPr="008B5AF1">
        <w:rPr>
          <w:b/>
        </w:rPr>
        <w:t xml:space="preserve"> приема документов</w:t>
      </w:r>
      <w:r w:rsidR="008507B8" w:rsidRPr="00CA1C61">
        <w:rPr>
          <w:b/>
        </w:rPr>
        <w:t>.</w:t>
      </w:r>
    </w:p>
    <w:p w14:paraId="73ED80ED" w14:textId="7A96A21E" w:rsidR="008B5AF1" w:rsidRPr="00CA1C61" w:rsidRDefault="008B5AF1" w:rsidP="00C73246">
      <w:pPr>
        <w:widowControl w:val="0"/>
        <w:autoSpaceDE w:val="0"/>
        <w:autoSpaceDN w:val="0"/>
        <w:ind w:firstLine="540"/>
        <w:jc w:val="both"/>
      </w:pPr>
      <w:r w:rsidRPr="008B5AF1">
        <w:t xml:space="preserve">4.1. </w:t>
      </w:r>
      <w:r w:rsidR="00C35295" w:rsidRPr="00CA1C61">
        <w:t>Банк</w:t>
      </w:r>
      <w:r w:rsidRPr="008B5AF1">
        <w:t xml:space="preserve"> обеспеч</w:t>
      </w:r>
      <w:r w:rsidR="00C35295" w:rsidRPr="00CA1C61">
        <w:t>ивает</w:t>
      </w:r>
      <w:r w:rsidRPr="008B5AF1">
        <w:t xml:space="preserve"> прием документов от </w:t>
      </w:r>
      <w:r w:rsidR="00FD32A7">
        <w:t>К</w:t>
      </w:r>
      <w:r w:rsidR="00FD32A7" w:rsidRPr="008B5AF1">
        <w:t xml:space="preserve">лиентов </w:t>
      </w:r>
      <w:r w:rsidRPr="008B5AF1">
        <w:t xml:space="preserve">и </w:t>
      </w:r>
      <w:r w:rsidR="00FD32A7">
        <w:t>П</w:t>
      </w:r>
      <w:r w:rsidR="00FD32A7" w:rsidRPr="008B5AF1">
        <w:t xml:space="preserve">отенциальных </w:t>
      </w:r>
      <w:r w:rsidRPr="008B5AF1">
        <w:t xml:space="preserve">клиентов, в объеме, порядке и на условиях, установленных внутренними документами </w:t>
      </w:r>
      <w:r w:rsidR="001E3BF4">
        <w:t>Д</w:t>
      </w:r>
      <w:r w:rsidR="001E3BF4" w:rsidRPr="008B5AF1">
        <w:t>епозитария</w:t>
      </w:r>
      <w:r w:rsidRPr="008B5AF1">
        <w:t xml:space="preserve">, в том числе в случаях представления неполного комплекта документов. </w:t>
      </w:r>
    </w:p>
    <w:p w14:paraId="70243476" w14:textId="77777777" w:rsidR="00EA65D8" w:rsidRPr="008B5AF1" w:rsidRDefault="00EA65D8" w:rsidP="008B5AF1">
      <w:pPr>
        <w:widowControl w:val="0"/>
        <w:autoSpaceDE w:val="0"/>
        <w:autoSpaceDN w:val="0"/>
        <w:ind w:firstLine="540"/>
        <w:jc w:val="both"/>
      </w:pPr>
    </w:p>
    <w:p w14:paraId="5F9C1284" w14:textId="447830EF" w:rsidR="00EA65D8" w:rsidRPr="00CA1C61" w:rsidRDefault="008B5AF1" w:rsidP="00EA65D8">
      <w:pPr>
        <w:widowControl w:val="0"/>
        <w:autoSpaceDE w:val="0"/>
        <w:autoSpaceDN w:val="0"/>
        <w:ind w:firstLine="540"/>
        <w:jc w:val="both"/>
      </w:pPr>
      <w:r w:rsidRPr="008B5AF1">
        <w:t xml:space="preserve">4.2. </w:t>
      </w:r>
      <w:r w:rsidR="00EA65D8" w:rsidRPr="00CA1C61">
        <w:t>Подразделением</w:t>
      </w:r>
      <w:r w:rsidR="001E3BF4">
        <w:t>,</w:t>
      </w:r>
      <w:r w:rsidRPr="008B5AF1">
        <w:t xml:space="preserve"> </w:t>
      </w:r>
      <w:r w:rsidR="001E3BF4" w:rsidRPr="008B5AF1">
        <w:t>ответственн</w:t>
      </w:r>
      <w:r w:rsidR="001E3BF4">
        <w:t>ым</w:t>
      </w:r>
      <w:r w:rsidR="001E3BF4" w:rsidRPr="008B5AF1">
        <w:t xml:space="preserve"> </w:t>
      </w:r>
      <w:r w:rsidRPr="008B5AF1">
        <w:t xml:space="preserve">за прием документов и непосредственное взаимодействие с </w:t>
      </w:r>
      <w:r w:rsidR="00FD32A7">
        <w:t>К</w:t>
      </w:r>
      <w:r w:rsidR="00FD32A7" w:rsidRPr="008B5AF1">
        <w:t xml:space="preserve">лиентами </w:t>
      </w:r>
      <w:r w:rsidRPr="008B5AF1">
        <w:t xml:space="preserve">и </w:t>
      </w:r>
      <w:r w:rsidR="00FD32A7">
        <w:t>П</w:t>
      </w:r>
      <w:r w:rsidR="00FD32A7" w:rsidRPr="008B5AF1">
        <w:t xml:space="preserve">отенциальными </w:t>
      </w:r>
      <w:r w:rsidRPr="008B5AF1">
        <w:t>клиентами</w:t>
      </w:r>
      <w:r w:rsidR="00EA65D8" w:rsidRPr="00CA1C61">
        <w:t xml:space="preserve"> является Депозитарий.</w:t>
      </w:r>
    </w:p>
    <w:p w14:paraId="4833FDB5" w14:textId="0D98D842" w:rsidR="0062330E" w:rsidRPr="00CA1C61" w:rsidRDefault="0062330E" w:rsidP="00EA65D8">
      <w:pPr>
        <w:widowControl w:val="0"/>
        <w:autoSpaceDE w:val="0"/>
        <w:autoSpaceDN w:val="0"/>
        <w:ind w:firstLine="540"/>
        <w:jc w:val="both"/>
      </w:pPr>
    </w:p>
    <w:p w14:paraId="779B994E" w14:textId="51FA07B5" w:rsidR="0062330E" w:rsidRPr="0062330E" w:rsidRDefault="0062330E" w:rsidP="0062330E">
      <w:pPr>
        <w:widowControl w:val="0"/>
        <w:autoSpaceDE w:val="0"/>
        <w:autoSpaceDN w:val="0"/>
        <w:ind w:firstLine="540"/>
        <w:jc w:val="both"/>
      </w:pPr>
      <w:r w:rsidRPr="00CA1C61">
        <w:t xml:space="preserve">4.3. </w:t>
      </w:r>
      <w:r w:rsidRPr="0062330E">
        <w:t>Состав документов, предоставляемых Клиентами</w:t>
      </w:r>
      <w:r w:rsidR="00652A9C">
        <w:t xml:space="preserve"> (</w:t>
      </w:r>
      <w:r w:rsidRPr="0062330E">
        <w:t>Потенциальными клиентами</w:t>
      </w:r>
      <w:r w:rsidR="00652A9C">
        <w:t>)</w:t>
      </w:r>
      <w:r w:rsidRPr="0062330E">
        <w:t xml:space="preserve"> в целях заключения Договора, а также в рамках исполнения Договора, определяется Условиями.</w:t>
      </w:r>
    </w:p>
    <w:p w14:paraId="27552C97" w14:textId="77777777" w:rsidR="0062330E" w:rsidRPr="0062330E" w:rsidRDefault="0062330E" w:rsidP="0062330E">
      <w:pPr>
        <w:widowControl w:val="0"/>
        <w:autoSpaceDE w:val="0"/>
        <w:autoSpaceDN w:val="0"/>
        <w:ind w:firstLine="540"/>
        <w:jc w:val="both"/>
      </w:pPr>
    </w:p>
    <w:p w14:paraId="099C5C06" w14:textId="00067E27" w:rsidR="0062330E" w:rsidRPr="0062330E" w:rsidRDefault="0062330E" w:rsidP="0062330E">
      <w:pPr>
        <w:widowControl w:val="0"/>
        <w:autoSpaceDE w:val="0"/>
        <w:autoSpaceDN w:val="0"/>
        <w:ind w:firstLine="540"/>
        <w:jc w:val="both"/>
      </w:pPr>
      <w:r w:rsidRPr="00CA1C61">
        <w:t xml:space="preserve">4.4. </w:t>
      </w:r>
      <w:r w:rsidRPr="0062330E">
        <w:t>Временные рамки приёма документов от Клиентов</w:t>
      </w:r>
      <w:r w:rsidR="00652A9C">
        <w:t xml:space="preserve"> (</w:t>
      </w:r>
      <w:r w:rsidRPr="0062330E">
        <w:t>Потенциальных клиентов</w:t>
      </w:r>
      <w:r w:rsidR="00652A9C">
        <w:t>)</w:t>
      </w:r>
      <w:r w:rsidRPr="0062330E">
        <w:t xml:space="preserve"> определяются Условиями.</w:t>
      </w:r>
    </w:p>
    <w:p w14:paraId="3BAD04BD" w14:textId="77777777" w:rsidR="0062330E" w:rsidRPr="00CA1C61" w:rsidRDefault="0062330E" w:rsidP="00EA65D8">
      <w:pPr>
        <w:widowControl w:val="0"/>
        <w:autoSpaceDE w:val="0"/>
        <w:autoSpaceDN w:val="0"/>
        <w:ind w:firstLine="540"/>
        <w:jc w:val="both"/>
      </w:pPr>
    </w:p>
    <w:p w14:paraId="66D9A24A" w14:textId="6E77E263" w:rsidR="00225273" w:rsidRPr="00CA1C61" w:rsidRDefault="008B5AF1" w:rsidP="00225273">
      <w:pPr>
        <w:widowControl w:val="0"/>
        <w:autoSpaceDE w:val="0"/>
        <w:autoSpaceDN w:val="0"/>
        <w:ind w:firstLine="540"/>
        <w:jc w:val="both"/>
      </w:pPr>
      <w:r w:rsidRPr="008B5AF1">
        <w:t>4.</w:t>
      </w:r>
      <w:r w:rsidR="0062330E" w:rsidRPr="00CA1C61">
        <w:t>5</w:t>
      </w:r>
      <w:r w:rsidRPr="008B5AF1">
        <w:t xml:space="preserve">. </w:t>
      </w:r>
      <w:bookmarkStart w:id="6" w:name="P91"/>
      <w:bookmarkEnd w:id="6"/>
      <w:r w:rsidR="00225273" w:rsidRPr="00CA1C61">
        <w:t xml:space="preserve">Фиксация документов, предоставляемых Клиентом/Потенциальным клиентом </w:t>
      </w:r>
      <w:r w:rsidR="00225273" w:rsidRPr="00CA1C61">
        <w:lastRenderedPageBreak/>
        <w:t xml:space="preserve">с целью заключения Договора производится в журнале, который составляется по форме Приложения 1 к настоящему Порядку. Журнал ведётся </w:t>
      </w:r>
      <w:r w:rsidR="00FD32A7">
        <w:t>Депозитарием</w:t>
      </w:r>
      <w:r w:rsidR="00225273" w:rsidRPr="00CA1C61">
        <w:t xml:space="preserve"> в электронном виде. </w:t>
      </w:r>
    </w:p>
    <w:p w14:paraId="5E02FA4E" w14:textId="77777777" w:rsidR="0062330E" w:rsidRPr="00CA1C61" w:rsidRDefault="0062330E" w:rsidP="00225273">
      <w:pPr>
        <w:widowControl w:val="0"/>
        <w:autoSpaceDE w:val="0"/>
        <w:autoSpaceDN w:val="0"/>
        <w:ind w:firstLine="540"/>
        <w:jc w:val="both"/>
      </w:pPr>
    </w:p>
    <w:p w14:paraId="30952D54" w14:textId="1B444ECC" w:rsidR="008B5AF1" w:rsidRPr="008B5AF1" w:rsidRDefault="008B5AF1" w:rsidP="00225273">
      <w:pPr>
        <w:widowControl w:val="0"/>
        <w:autoSpaceDE w:val="0"/>
        <w:autoSpaceDN w:val="0"/>
        <w:ind w:firstLine="540"/>
        <w:jc w:val="both"/>
      </w:pPr>
      <w:r w:rsidRPr="008B5AF1">
        <w:t>4.</w:t>
      </w:r>
      <w:r w:rsidR="00214485" w:rsidRPr="00CA1C61">
        <w:t>6</w:t>
      </w:r>
      <w:r w:rsidRPr="008B5AF1">
        <w:t xml:space="preserve">. При приеме документов </w:t>
      </w:r>
      <w:r w:rsidR="005B6E7D">
        <w:t xml:space="preserve">Депозитарий </w:t>
      </w:r>
      <w:r w:rsidRPr="008B5AF1">
        <w:t xml:space="preserve">по запросу </w:t>
      </w:r>
      <w:r w:rsidR="00FD32A7">
        <w:t>К</w:t>
      </w:r>
      <w:r w:rsidR="00FD32A7" w:rsidRPr="008B5AF1">
        <w:t>лиента</w:t>
      </w:r>
      <w:r w:rsidR="00652A9C">
        <w:t xml:space="preserve"> (</w:t>
      </w:r>
      <w:r w:rsidR="00FD32A7">
        <w:t>П</w:t>
      </w:r>
      <w:r w:rsidRPr="008B5AF1">
        <w:t>отенциального клиента</w:t>
      </w:r>
      <w:r w:rsidR="00652A9C">
        <w:t>)</w:t>
      </w:r>
      <w:r w:rsidRPr="008B5AF1">
        <w:t xml:space="preserve"> подтверждает факт приема документов </w:t>
      </w:r>
      <w:r w:rsidR="00326747">
        <w:t>по форме Приложения 2 к настоящему Порядку,</w:t>
      </w:r>
      <w:r w:rsidR="00326747" w:rsidRPr="008B5AF1">
        <w:t xml:space="preserve"> </w:t>
      </w:r>
      <w:r w:rsidRPr="008B5AF1">
        <w:t>либо выдает уведомление об отказе в приеме документов.</w:t>
      </w:r>
    </w:p>
    <w:p w14:paraId="65F8C947" w14:textId="6DA1430D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4.</w:t>
      </w:r>
      <w:r w:rsidR="00214485" w:rsidRPr="00CA1C61">
        <w:t>7</w:t>
      </w:r>
      <w:r w:rsidRPr="008B5AF1">
        <w:t xml:space="preserve">. Уведомление об отказе в приеме документов, указанное в </w:t>
      </w:r>
      <w:hyperlink w:anchor="P91" w:history="1">
        <w:r w:rsidRPr="008B5AF1">
          <w:t>пункте 4.</w:t>
        </w:r>
        <w:r w:rsidR="00214485" w:rsidRPr="0077451B">
          <w:t>6</w:t>
        </w:r>
      </w:hyperlink>
      <w:r w:rsidRPr="008B5AF1">
        <w:t xml:space="preserve"> </w:t>
      </w:r>
      <w:r w:rsidR="00225273" w:rsidRPr="00CA1C61">
        <w:t>настоящего Порядка</w:t>
      </w:r>
      <w:r w:rsidRPr="008B5AF1">
        <w:t xml:space="preserve">, а также уведомление об отказе во внесении записи по счету депо (иному счету), субсчету депо, разделу счета депо, записи об изменении сведений о </w:t>
      </w:r>
      <w:r w:rsidR="00FD32A7">
        <w:t>К</w:t>
      </w:r>
      <w:r w:rsidR="00FD32A7" w:rsidRPr="008B5AF1">
        <w:t xml:space="preserve">лиенте </w:t>
      </w:r>
      <w:r w:rsidRPr="008B5AF1">
        <w:t>(далее - уведомление об отказе во внесении записи) должны содержать мотивированное обоснование отказа с указанием причин, послуживших основанием для отказа, со ссылкой на нормы законодательства Российской Федерации в случае, если причиной отказа является нарушение требований законодательства Российской Федерации, и (или) на депозитарный договор, а также порядка устранения причин, повлекших отказ.</w:t>
      </w:r>
    </w:p>
    <w:p w14:paraId="144E99DD" w14:textId="5E963851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4.</w:t>
      </w:r>
      <w:r w:rsidR="00D523A1" w:rsidRPr="00171D9C">
        <w:t>8</w:t>
      </w:r>
      <w:r w:rsidRPr="008B5AF1">
        <w:t xml:space="preserve">. Подтверждение факта приема документов, уведомление об отказе в приеме документов, предусмотренные </w:t>
      </w:r>
      <w:hyperlink w:anchor="P91" w:history="1">
        <w:r w:rsidRPr="008B5AF1">
          <w:t>пунктом 4.</w:t>
        </w:r>
        <w:r w:rsidR="00467E80" w:rsidRPr="00CA1C61">
          <w:t>6</w:t>
        </w:r>
      </w:hyperlink>
      <w:r w:rsidRPr="008B5AF1">
        <w:t xml:space="preserve"> </w:t>
      </w:r>
      <w:r w:rsidR="00225273" w:rsidRPr="00CA1C61">
        <w:t>настоящего Порядка</w:t>
      </w:r>
      <w:r w:rsidRPr="008B5AF1">
        <w:t xml:space="preserve">, и уведомление об отказе во внесении записи предоставляются </w:t>
      </w:r>
      <w:r w:rsidR="00FD32A7">
        <w:t>К</w:t>
      </w:r>
      <w:r w:rsidR="00FD32A7" w:rsidRPr="008B5AF1">
        <w:t xml:space="preserve">лиенту </w:t>
      </w:r>
      <w:r w:rsidRPr="008B5AF1">
        <w:t xml:space="preserve">не позднее 3 (трех) рабочий дней, следующих за днем принятия </w:t>
      </w:r>
      <w:r w:rsidR="00401C21">
        <w:t>Банком</w:t>
      </w:r>
      <w:r w:rsidR="00401C21" w:rsidRPr="008B5AF1">
        <w:t xml:space="preserve"> </w:t>
      </w:r>
      <w:r w:rsidRPr="008B5AF1">
        <w:t xml:space="preserve">решения о приеме документов (об отказе в приеме документов, об отказе во внесении записи), способом, установленным </w:t>
      </w:r>
      <w:hyperlink w:anchor="P51" w:history="1">
        <w:r w:rsidRPr="008B5AF1">
          <w:t>пунктом 2.2</w:t>
        </w:r>
      </w:hyperlink>
      <w:r w:rsidRPr="008B5AF1">
        <w:t xml:space="preserve"> </w:t>
      </w:r>
      <w:r w:rsidR="008507B8" w:rsidRPr="00CA1C61">
        <w:t>Порядка</w:t>
      </w:r>
      <w:r w:rsidRPr="008B5AF1">
        <w:t>, а в случае предоставления уведомления об отказе во внесении записи - депозитарным договором.</w:t>
      </w:r>
    </w:p>
    <w:p w14:paraId="093B35D3" w14:textId="77777777" w:rsidR="008B5AF1" w:rsidRPr="008B5AF1" w:rsidRDefault="008B5AF1" w:rsidP="008B5AF1">
      <w:pPr>
        <w:widowControl w:val="0"/>
        <w:autoSpaceDE w:val="0"/>
        <w:autoSpaceDN w:val="0"/>
        <w:jc w:val="center"/>
      </w:pPr>
      <w:bookmarkStart w:id="7" w:name="P97"/>
      <w:bookmarkEnd w:id="7"/>
    </w:p>
    <w:p w14:paraId="3F8CA111" w14:textId="3E795FE4" w:rsidR="008B5AF1" w:rsidRPr="008B5AF1" w:rsidRDefault="009618C6" w:rsidP="008B5AF1">
      <w:pPr>
        <w:widowControl w:val="0"/>
        <w:autoSpaceDE w:val="0"/>
        <w:autoSpaceDN w:val="0"/>
        <w:jc w:val="center"/>
        <w:outlineLvl w:val="0"/>
        <w:rPr>
          <w:b/>
        </w:rPr>
      </w:pPr>
      <w:r>
        <w:rPr>
          <w:b/>
        </w:rPr>
        <w:t>5</w:t>
      </w:r>
      <w:r w:rsidR="008B5AF1" w:rsidRPr="008B5AF1">
        <w:rPr>
          <w:b/>
        </w:rPr>
        <w:t xml:space="preserve">. </w:t>
      </w:r>
      <w:r w:rsidR="008507B8" w:rsidRPr="00CA1C61">
        <w:rPr>
          <w:b/>
        </w:rPr>
        <w:t xml:space="preserve"> </w:t>
      </w:r>
      <w:r w:rsidR="008B5AF1" w:rsidRPr="008B5AF1">
        <w:rPr>
          <w:b/>
        </w:rPr>
        <w:t>Рассмотрение обращений (жалоб)</w:t>
      </w:r>
    </w:p>
    <w:p w14:paraId="110BD29C" w14:textId="77777777" w:rsidR="008B5AF1" w:rsidRPr="008B5AF1" w:rsidRDefault="008B5AF1" w:rsidP="008B5AF1">
      <w:pPr>
        <w:widowControl w:val="0"/>
        <w:autoSpaceDE w:val="0"/>
        <w:autoSpaceDN w:val="0"/>
        <w:jc w:val="center"/>
      </w:pPr>
    </w:p>
    <w:p w14:paraId="0D9B5E73" w14:textId="49D5C88A" w:rsidR="008B5AF1" w:rsidRPr="008B5AF1" w:rsidRDefault="009618C6" w:rsidP="008B5AF1">
      <w:pPr>
        <w:widowControl w:val="0"/>
        <w:autoSpaceDE w:val="0"/>
        <w:autoSpaceDN w:val="0"/>
        <w:ind w:firstLine="540"/>
        <w:jc w:val="both"/>
      </w:pPr>
      <w:r>
        <w:t>5</w:t>
      </w:r>
      <w:r w:rsidR="008B5AF1" w:rsidRPr="008B5AF1">
        <w:t xml:space="preserve">.1. </w:t>
      </w:r>
      <w:r w:rsidR="008507B8" w:rsidRPr="00CA1C61">
        <w:t>Банк</w:t>
      </w:r>
      <w:r w:rsidR="008B5AF1" w:rsidRPr="008B5AF1">
        <w:t xml:space="preserve"> обеспечивает объективное и своевременное рассмотрение обращений (жалоб) и дает ответ по существу поставленных в обращении (жалобе) вопросов, за исключением случаев, указанных в </w:t>
      </w:r>
      <w:hyperlink w:anchor="P113" w:history="1">
        <w:r w:rsidR="008B5AF1" w:rsidRPr="008B5AF1">
          <w:t xml:space="preserve">пункте </w:t>
        </w:r>
        <w:r>
          <w:t>5</w:t>
        </w:r>
        <w:r w:rsidR="008B5AF1" w:rsidRPr="008B5AF1">
          <w:t>.5</w:t>
        </w:r>
      </w:hyperlink>
      <w:r w:rsidR="008B5AF1" w:rsidRPr="008B5AF1">
        <w:t xml:space="preserve"> </w:t>
      </w:r>
      <w:r w:rsidR="00467E80" w:rsidRPr="00492460">
        <w:t>Порядка</w:t>
      </w:r>
      <w:r w:rsidR="008B5AF1" w:rsidRPr="008B5AF1">
        <w:t>.</w:t>
      </w:r>
    </w:p>
    <w:p w14:paraId="1C8328F6" w14:textId="4600975E" w:rsidR="008B5AF1" w:rsidRPr="008B5AF1" w:rsidRDefault="009618C6" w:rsidP="008B5AF1">
      <w:pPr>
        <w:widowControl w:val="0"/>
        <w:autoSpaceDE w:val="0"/>
        <w:autoSpaceDN w:val="0"/>
        <w:spacing w:before="220"/>
        <w:ind w:firstLine="540"/>
        <w:jc w:val="both"/>
      </w:pPr>
      <w:r>
        <w:t>5</w:t>
      </w:r>
      <w:r w:rsidR="008B5AF1" w:rsidRPr="008B5AF1">
        <w:t xml:space="preserve">.2. </w:t>
      </w:r>
      <w:r w:rsidR="008507B8" w:rsidRPr="00CA1C61">
        <w:t>Банк</w:t>
      </w:r>
      <w:r w:rsidR="008B5AF1" w:rsidRPr="008B5AF1">
        <w:t xml:space="preserve"> принимает обращения (жалобы) почтовым отправлением по адресу в пределах своего места нахождения и (или) по адресу места, предназначенного для обслуживания Получателей финансовых услуг (если он отличается от адреса в пределах места нахождения </w:t>
      </w:r>
      <w:r w:rsidR="00F31C54">
        <w:t>Банка</w:t>
      </w:r>
      <w:r w:rsidR="008B5AF1" w:rsidRPr="008B5AF1">
        <w:t xml:space="preserve">), а также по решению </w:t>
      </w:r>
      <w:r w:rsidR="005B6E7D">
        <w:t>Банка</w:t>
      </w:r>
      <w:r w:rsidR="005B6E7D" w:rsidRPr="008B5AF1">
        <w:t xml:space="preserve"> </w:t>
      </w:r>
      <w:r w:rsidR="008B5AF1" w:rsidRPr="008B5AF1">
        <w:t>в ином (иных) месте (местах) или иным способом.</w:t>
      </w:r>
    </w:p>
    <w:p w14:paraId="6EC72E45" w14:textId="1C273595" w:rsidR="008B5AF1" w:rsidRPr="008B5AF1" w:rsidRDefault="009618C6" w:rsidP="008B5AF1">
      <w:pPr>
        <w:widowControl w:val="0"/>
        <w:autoSpaceDE w:val="0"/>
        <w:autoSpaceDN w:val="0"/>
        <w:spacing w:before="220"/>
        <w:ind w:firstLine="540"/>
        <w:jc w:val="both"/>
      </w:pPr>
      <w:r>
        <w:t>5</w:t>
      </w:r>
      <w:r w:rsidR="008B5AF1" w:rsidRPr="008B5AF1">
        <w:t xml:space="preserve">.3. </w:t>
      </w:r>
      <w:r w:rsidR="008507B8" w:rsidRPr="00CA1C61">
        <w:t>Банк</w:t>
      </w:r>
      <w:r w:rsidR="008B5AF1" w:rsidRPr="008B5AF1">
        <w:t xml:space="preserve"> обеспечивает информирование Получателя финансовых услуг о получении обращения (жалобы). Порядок указанного информирования устанавливается </w:t>
      </w:r>
      <w:r w:rsidR="005B6E7D">
        <w:t>Банком</w:t>
      </w:r>
      <w:r w:rsidR="008B5AF1" w:rsidRPr="008B5AF1">
        <w:t>.</w:t>
      </w:r>
    </w:p>
    <w:p w14:paraId="19185E73" w14:textId="273F5079" w:rsidR="008B5AF1" w:rsidRPr="008B5AF1" w:rsidRDefault="009618C6" w:rsidP="008B5AF1">
      <w:pPr>
        <w:widowControl w:val="0"/>
        <w:autoSpaceDE w:val="0"/>
        <w:autoSpaceDN w:val="0"/>
        <w:spacing w:before="280"/>
        <w:ind w:firstLine="540"/>
        <w:jc w:val="both"/>
      </w:pPr>
      <w:bookmarkStart w:id="8" w:name="P112"/>
      <w:bookmarkStart w:id="9" w:name="_Hlk98948130"/>
      <w:bookmarkEnd w:id="8"/>
      <w:r>
        <w:t>5</w:t>
      </w:r>
      <w:r w:rsidR="008B5AF1" w:rsidRPr="008B5AF1">
        <w:t xml:space="preserve">.4. Информация о порядке информирования Получателя финансовых услуг о получении обращения (жалобы) размещается на </w:t>
      </w:r>
      <w:r w:rsidR="005B6E7D">
        <w:t>С</w:t>
      </w:r>
      <w:r w:rsidR="005B6E7D" w:rsidRPr="008B5AF1">
        <w:t xml:space="preserve">айте </w:t>
      </w:r>
      <w:r w:rsidR="00CA1C61" w:rsidRPr="00CA1C61">
        <w:t>Банка</w:t>
      </w:r>
      <w:r w:rsidR="008B5AF1" w:rsidRPr="008B5AF1">
        <w:t>.</w:t>
      </w:r>
    </w:p>
    <w:p w14:paraId="56EC261C" w14:textId="1B76FABF" w:rsidR="008B5AF1" w:rsidRPr="008B5AF1" w:rsidRDefault="009618C6" w:rsidP="008B5AF1">
      <w:pPr>
        <w:widowControl w:val="0"/>
        <w:autoSpaceDE w:val="0"/>
        <w:autoSpaceDN w:val="0"/>
        <w:spacing w:before="220"/>
        <w:ind w:firstLine="540"/>
        <w:jc w:val="both"/>
      </w:pPr>
      <w:bookmarkStart w:id="10" w:name="P113"/>
      <w:bookmarkEnd w:id="9"/>
      <w:bookmarkEnd w:id="10"/>
      <w:r>
        <w:t>5</w:t>
      </w:r>
      <w:r w:rsidR="008B5AF1" w:rsidRPr="008B5AF1">
        <w:t xml:space="preserve">.5. </w:t>
      </w:r>
      <w:r w:rsidR="00401C21">
        <w:t>Банк</w:t>
      </w:r>
      <w:r w:rsidR="00401C21" w:rsidRPr="008B5AF1">
        <w:t xml:space="preserve"> </w:t>
      </w:r>
      <w:r w:rsidR="008B5AF1" w:rsidRPr="008B5AF1">
        <w:t>вправе не отвечать на поступившее к нему обращение (жалобу) в следующих случаях:</w:t>
      </w:r>
    </w:p>
    <w:p w14:paraId="3C7EF330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1) в обращении (жалобе) не указаны идентифицирующие признаки Получателя финансовых услуг (в том числе, в отношении физического лица - фамилия, имя, отчество (при наличии), в отношении юридического лица - полное наименование и место нахождения юридического лица), а также адрес (реквизиты) для направления ответа;</w:t>
      </w:r>
    </w:p>
    <w:p w14:paraId="6D444B4E" w14:textId="23BAFA72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lastRenderedPageBreak/>
        <w:t xml:space="preserve">2) в обращении (жалобе) содержатся нецензурные либо оскорбительные выражения, угрозы имуществу </w:t>
      </w:r>
      <w:r w:rsidR="00492460">
        <w:t>Банка</w:t>
      </w:r>
      <w:r w:rsidRPr="008B5AF1">
        <w:t xml:space="preserve">, имуществу, жизни и (или) здоровью работников </w:t>
      </w:r>
      <w:r w:rsidR="00492460">
        <w:t>Банка</w:t>
      </w:r>
      <w:r w:rsidRPr="008B5AF1">
        <w:t>, а также членов их семей;</w:t>
      </w:r>
    </w:p>
    <w:p w14:paraId="7009EB7D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3) текст письменного обращения (жалобы) не поддается прочтению;</w:t>
      </w:r>
    </w:p>
    <w:p w14:paraId="479C19DD" w14:textId="279AC870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 xml:space="preserve">4) в обращении (жалобе) содержится вопрос, на который Получателю финансовых услуг ранее предоставлялся письменный ответ по существу, и при этом во вновь полученном обращении (жалобе) не приводятся новые доводы или обстоятельства, либо обращение (жалоба) содержит вопрос, рассмотрение которого не входит в компетенцию </w:t>
      </w:r>
      <w:r w:rsidR="005B6E7D">
        <w:t>Д</w:t>
      </w:r>
      <w:r w:rsidR="005B6E7D" w:rsidRPr="008B5AF1">
        <w:t>епозитария</w:t>
      </w:r>
      <w:r w:rsidRPr="008B5AF1">
        <w:t>, о чем уведомляется Получатель финансовых услуг;</w:t>
      </w:r>
    </w:p>
    <w:p w14:paraId="4A990C13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5) в обращении (жалобе) отсутствует подпись (электронная подпись) Получателя финансовых услуг или его уполномоченного представителя (в отношении юридических лиц).</w:t>
      </w:r>
    </w:p>
    <w:p w14:paraId="6C71181B" w14:textId="323A2DA8" w:rsidR="008B5AF1" w:rsidRPr="008B5AF1" w:rsidRDefault="009618C6" w:rsidP="008B5AF1">
      <w:pPr>
        <w:widowControl w:val="0"/>
        <w:autoSpaceDE w:val="0"/>
        <w:autoSpaceDN w:val="0"/>
        <w:spacing w:before="220"/>
        <w:ind w:firstLine="540"/>
        <w:jc w:val="both"/>
      </w:pPr>
      <w:r>
        <w:t>5</w:t>
      </w:r>
      <w:r w:rsidR="008B5AF1" w:rsidRPr="008B5AF1">
        <w:t xml:space="preserve">.6. В отношении каждого поступившего обращения (жалобы) </w:t>
      </w:r>
      <w:r w:rsidR="00F31C54">
        <w:t>Банк</w:t>
      </w:r>
      <w:r w:rsidR="00F31C54" w:rsidRPr="008B5AF1">
        <w:t xml:space="preserve"> </w:t>
      </w:r>
      <w:r w:rsidR="008B5AF1" w:rsidRPr="008B5AF1">
        <w:t>осуществляет фиксацию следующих сведений:</w:t>
      </w:r>
    </w:p>
    <w:p w14:paraId="49B6B087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1) дату регистрации и входящий номер обращения (жалобы);</w:t>
      </w:r>
    </w:p>
    <w:p w14:paraId="009F1A77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2) в отношении физических лиц - фамилию, имя, отчество (при наличии) Получателя финансовых услуг, а в отношении юридических лиц - наименование Получателя финансовых услуг, от имени которого направлено обращение (жалоба);</w:t>
      </w:r>
    </w:p>
    <w:p w14:paraId="72C6FE86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3) тематику обращения (жалобы);</w:t>
      </w:r>
    </w:p>
    <w:p w14:paraId="571F5CD5" w14:textId="77777777" w:rsidR="008B5AF1" w:rsidRPr="008B5AF1" w:rsidRDefault="008B5AF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8B5AF1">
        <w:t>4) дату регистрации и исходящий номер ответа на обращение (жалобу).</w:t>
      </w:r>
    </w:p>
    <w:p w14:paraId="69392A06" w14:textId="122D76C8" w:rsidR="008B5AF1" w:rsidRPr="008B5AF1" w:rsidRDefault="009618C6" w:rsidP="008B5AF1">
      <w:pPr>
        <w:widowControl w:val="0"/>
        <w:autoSpaceDE w:val="0"/>
        <w:autoSpaceDN w:val="0"/>
        <w:spacing w:before="220"/>
        <w:ind w:firstLine="540"/>
        <w:jc w:val="both"/>
      </w:pPr>
      <w:r>
        <w:t>5</w:t>
      </w:r>
      <w:r w:rsidR="008B5AF1" w:rsidRPr="008B5AF1">
        <w:t xml:space="preserve">.7. </w:t>
      </w:r>
      <w:r w:rsidR="00CA1C61" w:rsidRPr="00CA1C61">
        <w:t>Банк</w:t>
      </w:r>
      <w:r w:rsidR="008B5AF1" w:rsidRPr="008B5AF1">
        <w:t xml:space="preserve"> письменно на бумажном носителе или в электронной форме (если иное не указано в обращении (жалобе)) </w:t>
      </w:r>
      <w:r w:rsidR="005F2E2F">
        <w:t>отвечает</w:t>
      </w:r>
      <w:r w:rsidR="005F2E2F" w:rsidRPr="008B5AF1">
        <w:t xml:space="preserve"> </w:t>
      </w:r>
      <w:r w:rsidR="008B5AF1" w:rsidRPr="008B5AF1">
        <w:t xml:space="preserve">на обращение (жалобу) (за исключением случаев, предусмотренных </w:t>
      </w:r>
      <w:hyperlink w:anchor="P113" w:history="1">
        <w:r w:rsidR="008B5AF1" w:rsidRPr="008B5AF1">
          <w:t xml:space="preserve">пунктом </w:t>
        </w:r>
        <w:r w:rsidR="0078037E">
          <w:t>5</w:t>
        </w:r>
        <w:r w:rsidR="008B5AF1" w:rsidRPr="008B5AF1">
          <w:t>.5</w:t>
        </w:r>
      </w:hyperlink>
      <w:r w:rsidR="008B5AF1" w:rsidRPr="008B5AF1">
        <w:t xml:space="preserve"> </w:t>
      </w:r>
      <w:r w:rsidR="00CA1C61" w:rsidRPr="00CA1C61">
        <w:t>Порядка</w:t>
      </w:r>
      <w:r w:rsidR="008B5AF1" w:rsidRPr="008B5AF1">
        <w:t>) в срок не позднее 30 (тридцати) календарных дней со дня поступления обращения (жалобы).</w:t>
      </w:r>
    </w:p>
    <w:p w14:paraId="510E0F6E" w14:textId="1D1D6134" w:rsidR="008B5AF1" w:rsidRPr="008B5AF1" w:rsidRDefault="009618C6" w:rsidP="008B5AF1">
      <w:pPr>
        <w:widowControl w:val="0"/>
        <w:autoSpaceDE w:val="0"/>
        <w:autoSpaceDN w:val="0"/>
        <w:spacing w:before="220"/>
        <w:ind w:firstLine="540"/>
        <w:jc w:val="both"/>
      </w:pPr>
      <w:r>
        <w:t>5</w:t>
      </w:r>
      <w:r w:rsidR="008B5AF1" w:rsidRPr="008B5AF1">
        <w:t xml:space="preserve">.8. При удовлетворении обращения (жалобы) ответ </w:t>
      </w:r>
      <w:r w:rsidR="00CA1C61" w:rsidRPr="00CA1C61">
        <w:t>Банка</w:t>
      </w:r>
      <w:r w:rsidR="008B5AF1" w:rsidRPr="008B5AF1">
        <w:t xml:space="preserve"> </w:t>
      </w:r>
      <w:r w:rsidR="00D22DD4">
        <w:t>содержит</w:t>
      </w:r>
      <w:r w:rsidR="008B5AF1" w:rsidRPr="008B5AF1">
        <w:t xml:space="preserve"> разъяснение, какие действия предпринимаются </w:t>
      </w:r>
      <w:r w:rsidR="005B6E7D">
        <w:t>Д</w:t>
      </w:r>
      <w:r w:rsidR="005B6E7D" w:rsidRPr="008B5AF1">
        <w:t xml:space="preserve">епозитарием </w:t>
      </w:r>
      <w:r w:rsidR="008B5AF1" w:rsidRPr="008B5AF1">
        <w:t xml:space="preserve">по обращению (жалобе) и какие действия должен предпринять Получатель финансовых услуг (если они необходимы). Если обращение (жалоба) не удовлетворено, то Получателю финансовых услуг направляется ответ с указанием мотивированных причин отказа. Ответ </w:t>
      </w:r>
      <w:r w:rsidR="00CA1C61" w:rsidRPr="00CA1C61">
        <w:t>Банка</w:t>
      </w:r>
      <w:r w:rsidR="008B5AF1" w:rsidRPr="008B5AF1">
        <w:t xml:space="preserve"> о результатах рассмотрения обращения (жалобы) </w:t>
      </w:r>
      <w:r w:rsidR="00D22DD4">
        <w:t>содержит</w:t>
      </w:r>
      <w:r w:rsidR="008B5AF1" w:rsidRPr="008B5AF1">
        <w:t xml:space="preserve"> обоснованный (со ссылкой на соответствующие требования законодательства Российской Федерации, иных нормативных актов, базовых и внутренних стандартов саморегулируемой организации, внутренних документов </w:t>
      </w:r>
      <w:r w:rsidR="00B46752">
        <w:t>Д</w:t>
      </w:r>
      <w:r w:rsidR="00B46752" w:rsidRPr="008B5AF1">
        <w:t>епозитария</w:t>
      </w:r>
      <w:r w:rsidR="008B5AF1" w:rsidRPr="008B5AF1">
        <w:t>, депозитарного договора, а также на фактические обстоятельства рассматриваемого вопроса) ответ на каждый изложенный Получателем финансовых услуг довод.</w:t>
      </w:r>
    </w:p>
    <w:p w14:paraId="34EDC8DE" w14:textId="381F4C87" w:rsidR="008B5AF1" w:rsidRPr="008B5AF1" w:rsidRDefault="009618C6" w:rsidP="00CA1C61">
      <w:pPr>
        <w:widowControl w:val="0"/>
        <w:autoSpaceDE w:val="0"/>
        <w:autoSpaceDN w:val="0"/>
        <w:spacing w:before="220"/>
        <w:jc w:val="center"/>
        <w:rPr>
          <w:b/>
        </w:rPr>
      </w:pPr>
      <w:bookmarkStart w:id="11" w:name="P126"/>
      <w:bookmarkStart w:id="12" w:name="P132"/>
      <w:bookmarkEnd w:id="11"/>
      <w:bookmarkEnd w:id="12"/>
      <w:r>
        <w:rPr>
          <w:b/>
        </w:rPr>
        <w:t>6</w:t>
      </w:r>
      <w:r w:rsidR="008B5AF1" w:rsidRPr="008B5AF1">
        <w:rPr>
          <w:b/>
        </w:rPr>
        <w:t>. Досудебный (внесудебный) порядок урегулирования споров</w:t>
      </w:r>
    </w:p>
    <w:p w14:paraId="213FAAD7" w14:textId="77777777" w:rsidR="008B5AF1" w:rsidRPr="008B5AF1" w:rsidRDefault="008B5AF1" w:rsidP="008B5AF1">
      <w:pPr>
        <w:widowControl w:val="0"/>
        <w:autoSpaceDE w:val="0"/>
        <w:autoSpaceDN w:val="0"/>
        <w:jc w:val="center"/>
      </w:pPr>
    </w:p>
    <w:p w14:paraId="2289CACE" w14:textId="795CD3AE" w:rsidR="008B5AF1" w:rsidRPr="008B5AF1" w:rsidRDefault="009618C6" w:rsidP="008B5AF1">
      <w:pPr>
        <w:widowControl w:val="0"/>
        <w:autoSpaceDE w:val="0"/>
        <w:autoSpaceDN w:val="0"/>
        <w:ind w:firstLine="540"/>
        <w:jc w:val="both"/>
      </w:pPr>
      <w:bookmarkStart w:id="13" w:name="P134"/>
      <w:bookmarkEnd w:id="13"/>
      <w:r>
        <w:t>6</w:t>
      </w:r>
      <w:r w:rsidR="008B5AF1" w:rsidRPr="008B5AF1">
        <w:t xml:space="preserve">.1. </w:t>
      </w:r>
      <w:r w:rsidR="00CA1C61" w:rsidRPr="00CA1C61">
        <w:t>Банк</w:t>
      </w:r>
      <w:r w:rsidR="008B5AF1" w:rsidRPr="008B5AF1">
        <w:t xml:space="preserve"> стремится к разрешению споров между ним и Получателем финансовых услуг преимущественно в досудебном (внесудебном) порядке, в том числе посредством процедуры медиации, претензионного порядка или других установленных законодательством Российской Федерации способов досудебного (внесудебного) разрешения споров.</w:t>
      </w:r>
    </w:p>
    <w:p w14:paraId="1B360C5E" w14:textId="0402C3AC" w:rsidR="008B5AF1" w:rsidRPr="008B5AF1" w:rsidRDefault="00CA1C61" w:rsidP="008B5AF1">
      <w:pPr>
        <w:widowControl w:val="0"/>
        <w:autoSpaceDE w:val="0"/>
        <w:autoSpaceDN w:val="0"/>
        <w:spacing w:before="220"/>
        <w:ind w:firstLine="540"/>
        <w:jc w:val="both"/>
      </w:pPr>
      <w:r w:rsidRPr="00CA1C61">
        <w:lastRenderedPageBreak/>
        <w:t>Банк</w:t>
      </w:r>
      <w:r w:rsidR="008B5AF1" w:rsidRPr="008B5AF1">
        <w:t xml:space="preserve">, получивший претензию Получателя финансовых услуг, </w:t>
      </w:r>
      <w:r w:rsidR="005F2E2F">
        <w:t>рассматривает</w:t>
      </w:r>
      <w:r w:rsidR="008B5AF1" w:rsidRPr="008B5AF1">
        <w:t xml:space="preserve"> полученную претензию и </w:t>
      </w:r>
      <w:r w:rsidR="005F2E2F">
        <w:t xml:space="preserve">уведомляет </w:t>
      </w:r>
      <w:r w:rsidR="008B5AF1" w:rsidRPr="008B5AF1">
        <w:t>о результатах Получателя финансовых услуг в письменной форме в течение 30 (тридцати) рабочих дней со дня получения претензии или иного срока, установленного в договоре об оказании финансовых услуг.</w:t>
      </w:r>
    </w:p>
    <w:p w14:paraId="0080FB03" w14:textId="756DB4B8" w:rsidR="00000E3F" w:rsidRDefault="00000E3F" w:rsidP="001C403C">
      <w:pPr>
        <w:pStyle w:val="af4"/>
        <w:ind w:left="1778" w:hanging="720"/>
        <w:jc w:val="both"/>
      </w:pPr>
    </w:p>
    <w:p w14:paraId="0CBAE930" w14:textId="7990911A" w:rsidR="00EB3B6E" w:rsidRDefault="00EB3B6E" w:rsidP="001C403C">
      <w:pPr>
        <w:pStyle w:val="af4"/>
        <w:ind w:left="1778" w:hanging="720"/>
        <w:jc w:val="both"/>
      </w:pPr>
    </w:p>
    <w:p w14:paraId="3A1B9B44" w14:textId="30AD6DD7" w:rsidR="00DA1698" w:rsidRDefault="00DA1698">
      <w:r>
        <w:br w:type="page"/>
      </w:r>
    </w:p>
    <w:tbl>
      <w:tblPr>
        <w:tblStyle w:val="10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EB3B6E" w:rsidRPr="00EB3B6E" w14:paraId="5C748226" w14:textId="77777777" w:rsidTr="0063134A">
        <w:tc>
          <w:tcPr>
            <w:tcW w:w="3254" w:type="dxa"/>
          </w:tcPr>
          <w:p w14:paraId="2AA70C93" w14:textId="77777777" w:rsidR="00EB3B6E" w:rsidRPr="00360BBE" w:rsidRDefault="00EB3B6E" w:rsidP="00EB3B6E">
            <w:pPr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lastRenderedPageBreak/>
              <w:t>Приложение 1</w:t>
            </w:r>
          </w:p>
          <w:p w14:paraId="696B8259" w14:textId="77777777" w:rsidR="00EB3B6E" w:rsidRPr="00C73246" w:rsidRDefault="00EB3B6E" w:rsidP="006C4FF4">
            <w:pPr>
              <w:rPr>
                <w:rFonts w:ascii="Times New Roman" w:hAnsi="Times New Roman"/>
              </w:rPr>
            </w:pPr>
          </w:p>
        </w:tc>
      </w:tr>
    </w:tbl>
    <w:p w14:paraId="7CB1C245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</w:p>
    <w:p w14:paraId="4A76C26F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</w:p>
    <w:p w14:paraId="490DEF6B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</w:p>
    <w:p w14:paraId="36A6C692" w14:textId="67FA564D" w:rsidR="00EB3B6E" w:rsidRPr="00EB3B6E" w:rsidRDefault="00EB3B6E" w:rsidP="00EB3B6E">
      <w:pPr>
        <w:jc w:val="center"/>
        <w:rPr>
          <w:rFonts w:eastAsia="Calibri"/>
          <w:lang w:eastAsia="en-US"/>
        </w:rPr>
      </w:pPr>
      <w:r w:rsidRPr="00EB3B6E">
        <w:rPr>
          <w:rFonts w:eastAsia="Calibri"/>
          <w:lang w:eastAsia="en-US"/>
        </w:rPr>
        <w:t xml:space="preserve">Журнал регистрации документов, принятых от </w:t>
      </w:r>
      <w:r w:rsidRPr="00EB3B6E">
        <w:rPr>
          <w:rFonts w:eastAsia="Calibri"/>
          <w:bCs/>
          <w:color w:val="000000"/>
          <w:spacing w:val="-3"/>
          <w:lang w:eastAsia="en-US"/>
        </w:rPr>
        <w:t>Клиента</w:t>
      </w:r>
      <w:r w:rsidR="00B46752">
        <w:rPr>
          <w:rFonts w:eastAsia="Calibri"/>
          <w:bCs/>
          <w:color w:val="000000"/>
          <w:spacing w:val="-3"/>
          <w:lang w:eastAsia="en-US"/>
        </w:rPr>
        <w:t xml:space="preserve"> (</w:t>
      </w:r>
      <w:r w:rsidRPr="00EB3B6E">
        <w:rPr>
          <w:rFonts w:eastAsia="Calibri"/>
          <w:bCs/>
          <w:color w:val="000000"/>
          <w:spacing w:val="-3"/>
          <w:lang w:eastAsia="en-US"/>
        </w:rPr>
        <w:t>Потенциального клиента</w:t>
      </w:r>
      <w:r w:rsidR="00B46752">
        <w:rPr>
          <w:rFonts w:eastAsia="Calibri"/>
          <w:bCs/>
          <w:color w:val="000000"/>
          <w:spacing w:val="-3"/>
          <w:lang w:eastAsia="en-US"/>
        </w:rPr>
        <w:t>)</w:t>
      </w:r>
      <w:r w:rsidRPr="00B46752">
        <w:rPr>
          <w:rFonts w:eastAsia="Calibri"/>
          <w:lang w:eastAsia="en-US"/>
        </w:rPr>
        <w:t>,</w:t>
      </w:r>
      <w:r w:rsidRPr="00EB3B6E">
        <w:rPr>
          <w:rFonts w:eastAsia="Calibri"/>
          <w:lang w:eastAsia="en-US"/>
        </w:rPr>
        <w:t xml:space="preserve"> </w:t>
      </w:r>
    </w:p>
    <w:p w14:paraId="371C9BB1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  <w:r w:rsidRPr="00EB3B6E">
        <w:rPr>
          <w:rFonts w:eastAsia="Calibri"/>
          <w:lang w:eastAsia="en-US"/>
        </w:rPr>
        <w:t>обращающихся по поводу заключения Договора</w:t>
      </w:r>
    </w:p>
    <w:p w14:paraId="5F8DA82B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</w:p>
    <w:tbl>
      <w:tblPr>
        <w:tblStyle w:val="10"/>
        <w:tblW w:w="0" w:type="auto"/>
        <w:tblInd w:w="-572" w:type="dxa"/>
        <w:tblLook w:val="04A0" w:firstRow="1" w:lastRow="0" w:firstColumn="1" w:lastColumn="0" w:noHBand="0" w:noVBand="1"/>
      </w:tblPr>
      <w:tblGrid>
        <w:gridCol w:w="553"/>
        <w:gridCol w:w="843"/>
        <w:gridCol w:w="2765"/>
        <w:gridCol w:w="1860"/>
        <w:gridCol w:w="1794"/>
        <w:gridCol w:w="1818"/>
      </w:tblGrid>
      <w:tr w:rsidR="00EB3B6E" w:rsidRPr="00360BBE" w14:paraId="7AE9D582" w14:textId="77777777" w:rsidTr="0063134A">
        <w:tc>
          <w:tcPr>
            <w:tcW w:w="567" w:type="dxa"/>
          </w:tcPr>
          <w:p w14:paraId="587975C7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  <w:lang w:val="en-US"/>
              </w:rPr>
              <w:t xml:space="preserve">N </w:t>
            </w:r>
            <w:r w:rsidRPr="00360BBE">
              <w:rPr>
                <w:rFonts w:ascii="Times New Roman" w:hAnsi="Times New Roman"/>
              </w:rPr>
              <w:t>п/п</w:t>
            </w:r>
          </w:p>
        </w:tc>
        <w:tc>
          <w:tcPr>
            <w:tcW w:w="993" w:type="dxa"/>
          </w:tcPr>
          <w:p w14:paraId="46A82C4F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Дата</w:t>
            </w:r>
          </w:p>
        </w:tc>
        <w:tc>
          <w:tcPr>
            <w:tcW w:w="1984" w:type="dxa"/>
          </w:tcPr>
          <w:p w14:paraId="3CB8A472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 xml:space="preserve">Наименование/ФИО </w:t>
            </w:r>
            <w:r w:rsidRPr="00360BBE">
              <w:rPr>
                <w:rFonts w:ascii="Times New Roman" w:hAnsi="Times New Roman"/>
                <w:bCs/>
                <w:color w:val="000000"/>
                <w:spacing w:val="-3"/>
              </w:rPr>
              <w:t>Клиента/Потенциального клиента</w:t>
            </w:r>
          </w:p>
        </w:tc>
        <w:tc>
          <w:tcPr>
            <w:tcW w:w="1985" w:type="dxa"/>
          </w:tcPr>
          <w:p w14:paraId="128989C6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Представитель</w:t>
            </w:r>
          </w:p>
        </w:tc>
        <w:tc>
          <w:tcPr>
            <w:tcW w:w="1701" w:type="dxa"/>
          </w:tcPr>
          <w:p w14:paraId="41773B09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Комплектность документов</w:t>
            </w:r>
          </w:p>
        </w:tc>
        <w:tc>
          <w:tcPr>
            <w:tcW w:w="2551" w:type="dxa"/>
          </w:tcPr>
          <w:p w14:paraId="16209466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Решение</w:t>
            </w:r>
          </w:p>
        </w:tc>
      </w:tr>
      <w:tr w:rsidR="00EB3B6E" w:rsidRPr="00EB3B6E" w14:paraId="4E197036" w14:textId="77777777" w:rsidTr="0063134A">
        <w:tc>
          <w:tcPr>
            <w:tcW w:w="567" w:type="dxa"/>
          </w:tcPr>
          <w:p w14:paraId="77B0CEDD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4FCF131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06BDB6DA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71C78B3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A4F4B02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14:paraId="2EFD7FB8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0F2B490" w14:textId="77777777" w:rsidR="00EB3B6E" w:rsidRPr="00EB3B6E" w:rsidRDefault="00EB3B6E" w:rsidP="00EB3B6E">
      <w:pPr>
        <w:jc w:val="both"/>
        <w:rPr>
          <w:rFonts w:eastAsia="Calibri"/>
          <w:bCs/>
          <w:color w:val="000000"/>
          <w:spacing w:val="-3"/>
          <w:lang w:eastAsia="en-US"/>
        </w:rPr>
      </w:pPr>
    </w:p>
    <w:p w14:paraId="3A05D633" w14:textId="77777777" w:rsidR="00EB3B6E" w:rsidRPr="00EB3B6E" w:rsidRDefault="00EB3B6E" w:rsidP="00EB3B6E">
      <w:pPr>
        <w:jc w:val="both"/>
        <w:rPr>
          <w:rFonts w:eastAsia="Calibri"/>
          <w:bCs/>
          <w:color w:val="000000"/>
          <w:spacing w:val="-3"/>
          <w:lang w:eastAsia="en-US"/>
        </w:rPr>
      </w:pPr>
    </w:p>
    <w:p w14:paraId="0CF72CDC" w14:textId="77777777" w:rsidR="00EB3B6E" w:rsidRPr="00EB3B6E" w:rsidRDefault="00EB3B6E" w:rsidP="00EB3B6E">
      <w:pPr>
        <w:spacing w:after="160" w:line="259" w:lineRule="auto"/>
        <w:rPr>
          <w:rFonts w:eastAsia="Calibri"/>
          <w:bCs/>
          <w:color w:val="000000"/>
          <w:spacing w:val="-3"/>
          <w:lang w:eastAsia="en-US"/>
        </w:rPr>
      </w:pPr>
      <w:r w:rsidRPr="00EB3B6E">
        <w:rPr>
          <w:rFonts w:eastAsia="Calibri"/>
          <w:bCs/>
          <w:color w:val="000000"/>
          <w:spacing w:val="-3"/>
          <w:lang w:eastAsia="en-US"/>
        </w:rPr>
        <w:br w:type="page"/>
      </w:r>
    </w:p>
    <w:tbl>
      <w:tblPr>
        <w:tblStyle w:val="10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</w:tblGrid>
      <w:tr w:rsidR="00EB3B6E" w:rsidRPr="00EB3B6E" w14:paraId="3CEFFF77" w14:textId="77777777" w:rsidTr="0063134A">
        <w:tc>
          <w:tcPr>
            <w:tcW w:w="3254" w:type="dxa"/>
          </w:tcPr>
          <w:p w14:paraId="0180AE98" w14:textId="77777777" w:rsidR="00EB3B6E" w:rsidRPr="00360BBE" w:rsidRDefault="00EB3B6E" w:rsidP="00EB3B6E">
            <w:pPr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lastRenderedPageBreak/>
              <w:t>Приложение 2</w:t>
            </w:r>
          </w:p>
          <w:p w14:paraId="40B6B950" w14:textId="105ACAF2" w:rsidR="00EB3B6E" w:rsidRPr="00C73246" w:rsidRDefault="00EB3B6E" w:rsidP="00EB3B6E">
            <w:pPr>
              <w:rPr>
                <w:rFonts w:ascii="Times New Roman" w:hAnsi="Times New Roman"/>
              </w:rPr>
            </w:pPr>
          </w:p>
        </w:tc>
      </w:tr>
    </w:tbl>
    <w:p w14:paraId="5E284F85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</w:p>
    <w:p w14:paraId="4B7F929C" w14:textId="77777777" w:rsidR="00EB3B6E" w:rsidRPr="00EB3B6E" w:rsidRDefault="00EB3B6E" w:rsidP="00EB3B6E">
      <w:pPr>
        <w:jc w:val="center"/>
        <w:rPr>
          <w:rFonts w:eastAsia="Calibri"/>
          <w:bCs/>
          <w:lang w:eastAsia="en-US"/>
        </w:rPr>
      </w:pPr>
      <w:r w:rsidRPr="00EB3B6E">
        <w:rPr>
          <w:rFonts w:eastAsia="Calibri"/>
          <w:bCs/>
          <w:lang w:eastAsia="en-US"/>
        </w:rPr>
        <w:t xml:space="preserve">Уведомление </w:t>
      </w:r>
    </w:p>
    <w:p w14:paraId="782836B9" w14:textId="09CDB73F" w:rsidR="00EB3B6E" w:rsidRPr="00EB3B6E" w:rsidRDefault="00EB3B6E" w:rsidP="00EB3B6E">
      <w:pPr>
        <w:jc w:val="center"/>
        <w:rPr>
          <w:rFonts w:eastAsia="Calibri"/>
          <w:bCs/>
          <w:lang w:eastAsia="en-US"/>
        </w:rPr>
      </w:pPr>
      <w:r w:rsidRPr="00EB3B6E">
        <w:rPr>
          <w:rFonts w:eastAsia="Calibri"/>
          <w:bCs/>
          <w:lang w:eastAsia="en-US"/>
        </w:rPr>
        <w:t xml:space="preserve">о принятых от </w:t>
      </w:r>
      <w:r w:rsidRPr="00EB3B6E">
        <w:rPr>
          <w:rFonts w:eastAsia="Calibri"/>
          <w:bCs/>
          <w:color w:val="000000"/>
          <w:spacing w:val="-3"/>
          <w:lang w:eastAsia="en-US"/>
        </w:rPr>
        <w:t>Клиента</w:t>
      </w:r>
      <w:r w:rsidR="00B46752">
        <w:rPr>
          <w:rFonts w:eastAsia="Calibri"/>
          <w:bCs/>
          <w:color w:val="000000"/>
          <w:spacing w:val="-3"/>
          <w:lang w:eastAsia="en-US"/>
        </w:rPr>
        <w:t xml:space="preserve"> (</w:t>
      </w:r>
      <w:r w:rsidRPr="00EB3B6E">
        <w:rPr>
          <w:rFonts w:eastAsia="Calibri"/>
          <w:bCs/>
          <w:color w:val="000000"/>
          <w:spacing w:val="-3"/>
          <w:lang w:eastAsia="en-US"/>
        </w:rPr>
        <w:t>Потенциального клиента</w:t>
      </w:r>
      <w:r w:rsidR="00B46752">
        <w:rPr>
          <w:rFonts w:eastAsia="Calibri"/>
          <w:bCs/>
          <w:color w:val="000000"/>
          <w:spacing w:val="-3"/>
          <w:lang w:eastAsia="en-US"/>
        </w:rPr>
        <w:t>)</w:t>
      </w:r>
      <w:r w:rsidRPr="00EB3B6E">
        <w:rPr>
          <w:rFonts w:eastAsia="Calibri"/>
          <w:bCs/>
          <w:color w:val="000000"/>
          <w:spacing w:val="-3"/>
          <w:lang w:eastAsia="en-US"/>
        </w:rPr>
        <w:t xml:space="preserve"> </w:t>
      </w:r>
      <w:r w:rsidRPr="00EB3B6E">
        <w:rPr>
          <w:rFonts w:eastAsia="Calibri"/>
          <w:bCs/>
          <w:lang w:eastAsia="en-US"/>
        </w:rPr>
        <w:t>документах</w:t>
      </w:r>
    </w:p>
    <w:p w14:paraId="39C83F0F" w14:textId="77777777" w:rsidR="00EB3B6E" w:rsidRPr="00EB3B6E" w:rsidRDefault="00EB3B6E" w:rsidP="00EB3B6E">
      <w:pPr>
        <w:jc w:val="center"/>
        <w:rPr>
          <w:rFonts w:eastAsia="Calibri"/>
          <w:bCs/>
          <w:lang w:eastAsia="en-US"/>
        </w:rPr>
      </w:pPr>
      <w:r w:rsidRPr="00EB3B6E">
        <w:rPr>
          <w:rFonts w:eastAsia="Calibri"/>
          <w:bCs/>
          <w:lang w:eastAsia="en-US"/>
        </w:rPr>
        <w:t xml:space="preserve"> (неполного комплекта документов)</w:t>
      </w:r>
    </w:p>
    <w:p w14:paraId="5227F2FF" w14:textId="77777777" w:rsidR="00EB3B6E" w:rsidRPr="00EB3B6E" w:rsidRDefault="00EB3B6E" w:rsidP="00EB3B6E">
      <w:pPr>
        <w:jc w:val="center"/>
        <w:rPr>
          <w:rFonts w:eastAsia="Calibri"/>
          <w:b/>
          <w:lang w:eastAsia="en-US"/>
        </w:rPr>
      </w:pPr>
    </w:p>
    <w:p w14:paraId="61A20497" w14:textId="559975EA" w:rsidR="00EB3B6E" w:rsidRPr="00EB3B6E" w:rsidRDefault="00EB3B6E" w:rsidP="00EB3B6E">
      <w:pPr>
        <w:rPr>
          <w:rFonts w:eastAsia="Calibri"/>
          <w:b/>
          <w:lang w:eastAsia="en-US"/>
        </w:rPr>
      </w:pPr>
      <w:r w:rsidRPr="00EB3B6E">
        <w:rPr>
          <w:rFonts w:eastAsia="Calibri"/>
          <w:bCs/>
          <w:color w:val="000000"/>
          <w:spacing w:val="-3"/>
          <w:lang w:eastAsia="en-US"/>
        </w:rPr>
        <w:t>Клиент</w:t>
      </w:r>
      <w:r w:rsidR="00B46752">
        <w:rPr>
          <w:rFonts w:eastAsia="Calibri"/>
          <w:bCs/>
          <w:color w:val="000000"/>
          <w:spacing w:val="-3"/>
          <w:lang w:eastAsia="en-US"/>
        </w:rPr>
        <w:t xml:space="preserve"> (</w:t>
      </w:r>
      <w:r w:rsidRPr="00EB3B6E">
        <w:rPr>
          <w:rFonts w:eastAsia="Calibri"/>
          <w:bCs/>
          <w:color w:val="000000"/>
          <w:spacing w:val="-3"/>
          <w:lang w:eastAsia="en-US"/>
        </w:rPr>
        <w:t>Потенциальный клиент</w:t>
      </w:r>
      <w:r w:rsidR="00B46752">
        <w:rPr>
          <w:rFonts w:eastAsia="Calibri"/>
          <w:bCs/>
          <w:color w:val="000000"/>
          <w:spacing w:val="-3"/>
          <w:lang w:eastAsia="en-US"/>
        </w:rPr>
        <w:t>)</w:t>
      </w:r>
      <w:r w:rsidRPr="00B46752">
        <w:rPr>
          <w:rFonts w:eastAsia="Calibri"/>
          <w:b/>
          <w:lang w:eastAsia="en-US"/>
        </w:rPr>
        <w:t>:</w:t>
      </w:r>
      <w:r w:rsidRPr="00EB3B6E">
        <w:rPr>
          <w:rFonts w:eastAsia="Calibri"/>
          <w:b/>
          <w:lang w:eastAsia="en-US"/>
        </w:rPr>
        <w:t xml:space="preserve"> ___________________________________________________________________________</w:t>
      </w:r>
    </w:p>
    <w:p w14:paraId="1F96FA89" w14:textId="317121F2" w:rsidR="00EB3B6E" w:rsidRPr="00EB3B6E" w:rsidRDefault="00EB3B6E" w:rsidP="00EB3B6E">
      <w:pPr>
        <w:rPr>
          <w:rFonts w:eastAsia="Calibri"/>
          <w:b/>
          <w:lang w:eastAsia="en-US"/>
        </w:rPr>
      </w:pPr>
      <w:r w:rsidRPr="00EB3B6E">
        <w:rPr>
          <w:rFonts w:eastAsia="Calibri"/>
          <w:b/>
          <w:lang w:eastAsia="en-US"/>
        </w:rPr>
        <w:t>___________________________________________________________________________</w:t>
      </w:r>
    </w:p>
    <w:p w14:paraId="7E161FE6" w14:textId="77777777" w:rsidR="00EB3B6E" w:rsidRPr="00EB3B6E" w:rsidRDefault="00EB3B6E" w:rsidP="00EB3B6E">
      <w:pPr>
        <w:jc w:val="center"/>
        <w:rPr>
          <w:rFonts w:eastAsia="Calibri"/>
          <w:lang w:eastAsia="en-US"/>
        </w:rPr>
      </w:pPr>
    </w:p>
    <w:tbl>
      <w:tblPr>
        <w:tblStyle w:val="10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3272"/>
        <w:gridCol w:w="2406"/>
        <w:gridCol w:w="3111"/>
      </w:tblGrid>
      <w:tr w:rsidR="00EB3B6E" w:rsidRPr="00360BBE" w14:paraId="381B9FFA" w14:textId="77777777" w:rsidTr="0063134A">
        <w:tc>
          <w:tcPr>
            <w:tcW w:w="567" w:type="dxa"/>
          </w:tcPr>
          <w:p w14:paraId="31D2BB5C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3272" w:type="dxa"/>
          </w:tcPr>
          <w:p w14:paraId="7C6A752F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406" w:type="dxa"/>
          </w:tcPr>
          <w:p w14:paraId="1B1E9831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Комплектность документов</w:t>
            </w:r>
          </w:p>
        </w:tc>
        <w:tc>
          <w:tcPr>
            <w:tcW w:w="3111" w:type="dxa"/>
          </w:tcPr>
          <w:p w14:paraId="7FC15D0C" w14:textId="77777777" w:rsidR="00EB3B6E" w:rsidRPr="00360BBE" w:rsidRDefault="00EB3B6E" w:rsidP="00EB3B6E">
            <w:pPr>
              <w:jc w:val="center"/>
              <w:rPr>
                <w:rFonts w:ascii="Times New Roman" w:hAnsi="Times New Roman"/>
              </w:rPr>
            </w:pPr>
            <w:r w:rsidRPr="00360BBE">
              <w:rPr>
                <w:rFonts w:ascii="Times New Roman" w:hAnsi="Times New Roman"/>
              </w:rPr>
              <w:t>Примечание</w:t>
            </w:r>
          </w:p>
        </w:tc>
      </w:tr>
      <w:tr w:rsidR="00EB3B6E" w:rsidRPr="00EB3B6E" w14:paraId="25632E0D" w14:textId="77777777" w:rsidTr="0063134A">
        <w:trPr>
          <w:trHeight w:val="562"/>
        </w:trPr>
        <w:tc>
          <w:tcPr>
            <w:tcW w:w="567" w:type="dxa"/>
          </w:tcPr>
          <w:p w14:paraId="16D51529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0799897C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283C0761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21F3E9F5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5D043FB4" w14:textId="77777777" w:rsidTr="0063134A">
        <w:trPr>
          <w:trHeight w:val="562"/>
        </w:trPr>
        <w:tc>
          <w:tcPr>
            <w:tcW w:w="567" w:type="dxa"/>
          </w:tcPr>
          <w:p w14:paraId="68EA7E97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070746D8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3D3573BB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46A5ADAA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51D43FCA" w14:textId="77777777" w:rsidTr="0063134A">
        <w:trPr>
          <w:trHeight w:val="562"/>
        </w:trPr>
        <w:tc>
          <w:tcPr>
            <w:tcW w:w="567" w:type="dxa"/>
          </w:tcPr>
          <w:p w14:paraId="070CBA48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0E530020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2138864C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1084CDB5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5FAC7928" w14:textId="77777777" w:rsidTr="0063134A">
        <w:trPr>
          <w:trHeight w:val="562"/>
        </w:trPr>
        <w:tc>
          <w:tcPr>
            <w:tcW w:w="567" w:type="dxa"/>
          </w:tcPr>
          <w:p w14:paraId="56A01A93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57284C59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4005CF18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39E6A09D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525E8CAB" w14:textId="77777777" w:rsidTr="0063134A">
        <w:trPr>
          <w:trHeight w:val="562"/>
        </w:trPr>
        <w:tc>
          <w:tcPr>
            <w:tcW w:w="567" w:type="dxa"/>
          </w:tcPr>
          <w:p w14:paraId="76B0D05D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78368202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5E267B3D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0552BE63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49441114" w14:textId="77777777" w:rsidTr="0063134A">
        <w:trPr>
          <w:trHeight w:val="562"/>
        </w:trPr>
        <w:tc>
          <w:tcPr>
            <w:tcW w:w="567" w:type="dxa"/>
          </w:tcPr>
          <w:p w14:paraId="10475883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1C1B4BA5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5E31B94E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349EC04D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2F4085F5" w14:textId="77777777" w:rsidTr="0063134A">
        <w:trPr>
          <w:trHeight w:val="562"/>
        </w:trPr>
        <w:tc>
          <w:tcPr>
            <w:tcW w:w="567" w:type="dxa"/>
          </w:tcPr>
          <w:p w14:paraId="53501491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4231D285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0C661BF9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444BE943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42EF7F9D" w14:textId="77777777" w:rsidTr="0063134A">
        <w:trPr>
          <w:trHeight w:val="562"/>
        </w:trPr>
        <w:tc>
          <w:tcPr>
            <w:tcW w:w="567" w:type="dxa"/>
          </w:tcPr>
          <w:p w14:paraId="595FE0F1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4E456EB1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58B460C7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1AF1A263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2E4B8F34" w14:textId="77777777" w:rsidTr="0063134A">
        <w:trPr>
          <w:trHeight w:val="562"/>
        </w:trPr>
        <w:tc>
          <w:tcPr>
            <w:tcW w:w="567" w:type="dxa"/>
          </w:tcPr>
          <w:p w14:paraId="78FF8718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7DEE947B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44C3411F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11A627A5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  <w:tr w:rsidR="00EB3B6E" w:rsidRPr="00EB3B6E" w14:paraId="37DE7E92" w14:textId="77777777" w:rsidTr="0063134A">
        <w:trPr>
          <w:trHeight w:val="562"/>
        </w:trPr>
        <w:tc>
          <w:tcPr>
            <w:tcW w:w="567" w:type="dxa"/>
          </w:tcPr>
          <w:p w14:paraId="23C18274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2" w:type="dxa"/>
          </w:tcPr>
          <w:p w14:paraId="51B65755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6" w:type="dxa"/>
          </w:tcPr>
          <w:p w14:paraId="5B4144C0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1" w:type="dxa"/>
          </w:tcPr>
          <w:p w14:paraId="71F750AA" w14:textId="77777777" w:rsidR="00EB3B6E" w:rsidRPr="00C73246" w:rsidRDefault="00EB3B6E" w:rsidP="00EB3B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DAA87C5" w14:textId="77777777" w:rsidR="00EB3B6E" w:rsidRPr="00EB3B6E" w:rsidRDefault="00EB3B6E" w:rsidP="00EB3B6E">
      <w:pPr>
        <w:jc w:val="both"/>
        <w:rPr>
          <w:rFonts w:eastAsia="Calibri"/>
          <w:bCs/>
          <w:color w:val="000000"/>
          <w:spacing w:val="-3"/>
          <w:lang w:eastAsia="en-US"/>
        </w:rPr>
      </w:pPr>
    </w:p>
    <w:p w14:paraId="42277D83" w14:textId="2D9669BB" w:rsidR="00EB3B6E" w:rsidRPr="00EB3B6E" w:rsidRDefault="00EB3B6E" w:rsidP="00EB3B6E">
      <w:pPr>
        <w:rPr>
          <w:rFonts w:eastAsia="Calibri"/>
          <w:bCs/>
          <w:color w:val="000000"/>
          <w:spacing w:val="-3"/>
          <w:lang w:eastAsia="en-US"/>
        </w:rPr>
      </w:pPr>
      <w:r w:rsidRPr="00EB3B6E">
        <w:rPr>
          <w:rFonts w:eastAsia="Calibri"/>
          <w:bCs/>
          <w:color w:val="000000"/>
          <w:spacing w:val="-3"/>
          <w:lang w:eastAsia="en-US"/>
        </w:rPr>
        <w:t>Для отметок: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6E8A1" w14:textId="77777777" w:rsidR="00EB3B6E" w:rsidRPr="00EB3B6E" w:rsidRDefault="00EB3B6E" w:rsidP="00EB3B6E">
      <w:pPr>
        <w:rPr>
          <w:rFonts w:eastAsia="Calibri"/>
          <w:bCs/>
          <w:color w:val="000000"/>
          <w:spacing w:val="-3"/>
          <w:lang w:eastAsia="en-US"/>
        </w:rPr>
      </w:pPr>
    </w:p>
    <w:p w14:paraId="24171A64" w14:textId="77777777" w:rsidR="00EB3B6E" w:rsidRPr="00EB3B6E" w:rsidRDefault="00EB3B6E" w:rsidP="00EB3B6E">
      <w:pPr>
        <w:rPr>
          <w:rFonts w:eastAsia="Calibri"/>
          <w:bCs/>
          <w:color w:val="000000"/>
          <w:spacing w:val="-3"/>
          <w:lang w:eastAsia="en-US"/>
        </w:rPr>
      </w:pPr>
    </w:p>
    <w:p w14:paraId="503B5091" w14:textId="0CA0678C" w:rsidR="006C4FF4" w:rsidRPr="006C4FF4" w:rsidRDefault="006C4FF4" w:rsidP="006C4FF4">
      <w:pPr>
        <w:rPr>
          <w:rFonts w:eastAsia="Calibri"/>
          <w:bCs/>
          <w:color w:val="000000"/>
          <w:spacing w:val="-3"/>
          <w:lang w:eastAsia="en-US"/>
        </w:rPr>
      </w:pPr>
      <w:r w:rsidRPr="006C4FF4">
        <w:rPr>
          <w:rFonts w:eastAsia="Calibri"/>
          <w:bCs/>
          <w:color w:val="000000"/>
          <w:spacing w:val="-3"/>
          <w:lang w:eastAsia="en-US"/>
        </w:rPr>
        <w:t>Дата «___» ___________ 20_____ г.               __________________ / ___________________/</w:t>
      </w:r>
    </w:p>
    <w:p w14:paraId="0E8E9CF3" w14:textId="77777777" w:rsidR="006C4FF4" w:rsidRPr="006C4FF4" w:rsidRDefault="006C4FF4" w:rsidP="006C4FF4">
      <w:pPr>
        <w:jc w:val="both"/>
        <w:rPr>
          <w:rFonts w:eastAsia="Calibri"/>
          <w:bCs/>
          <w:color w:val="000000"/>
          <w:spacing w:val="-3"/>
          <w:sz w:val="20"/>
          <w:szCs w:val="20"/>
          <w:lang w:eastAsia="en-US"/>
        </w:rPr>
      </w:pPr>
      <w:r w:rsidRPr="006C4FF4">
        <w:rPr>
          <w:rFonts w:eastAsia="Calibri"/>
          <w:bCs/>
          <w:color w:val="000000"/>
          <w:spacing w:val="-3"/>
          <w:lang w:eastAsia="en-US"/>
        </w:rPr>
        <w:t xml:space="preserve">                                                                                          </w:t>
      </w:r>
      <w:r w:rsidRPr="006C4FF4">
        <w:rPr>
          <w:rFonts w:eastAsia="Calibri"/>
          <w:bCs/>
          <w:color w:val="000000"/>
          <w:spacing w:val="-3"/>
          <w:sz w:val="20"/>
          <w:szCs w:val="20"/>
          <w:lang w:eastAsia="en-US"/>
        </w:rPr>
        <w:t>Подпись                                       Ф.И.О.</w:t>
      </w:r>
    </w:p>
    <w:p w14:paraId="603FF6F9" w14:textId="2BDBFF57" w:rsidR="00EB3B6E" w:rsidRDefault="006C4FF4" w:rsidP="006C4FF4">
      <w:pPr>
        <w:jc w:val="both"/>
      </w:pPr>
      <w:r w:rsidRPr="006C4FF4">
        <w:rPr>
          <w:rFonts w:eastAsia="Calibri"/>
          <w:bCs/>
          <w:color w:val="000000"/>
          <w:spacing w:val="-3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ответственного лица</w:t>
      </w:r>
    </w:p>
    <w:p w14:paraId="442CD43A" w14:textId="06D6A0E5" w:rsidR="00EB3B6E" w:rsidRDefault="00EB3B6E" w:rsidP="001C403C">
      <w:pPr>
        <w:pStyle w:val="af4"/>
        <w:ind w:left="1778" w:hanging="720"/>
        <w:jc w:val="both"/>
      </w:pPr>
    </w:p>
    <w:p w14:paraId="72E73346" w14:textId="77777777" w:rsidR="00EB3B6E" w:rsidRPr="00CA1C61" w:rsidRDefault="00EB3B6E" w:rsidP="001C403C">
      <w:pPr>
        <w:pStyle w:val="af4"/>
        <w:ind w:left="1778" w:hanging="720"/>
        <w:jc w:val="both"/>
      </w:pPr>
    </w:p>
    <w:sectPr w:rsidR="00EB3B6E" w:rsidRPr="00CA1C61" w:rsidSect="00A91DAF">
      <w:headerReference w:type="default" r:id="rId12"/>
      <w:footerReference w:type="default" r:id="rId13"/>
      <w:pgSz w:w="11907" w:h="16840" w:code="9"/>
      <w:pgMar w:top="1079" w:right="1418" w:bottom="1418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D94F" w14:textId="77777777" w:rsidR="00D961B0" w:rsidRDefault="00D961B0">
      <w:r>
        <w:separator/>
      </w:r>
    </w:p>
  </w:endnote>
  <w:endnote w:type="continuationSeparator" w:id="0">
    <w:p w14:paraId="4A55CA99" w14:textId="77777777" w:rsidR="00D961B0" w:rsidRDefault="00D961B0">
      <w:r>
        <w:continuationSeparator/>
      </w:r>
    </w:p>
  </w:endnote>
  <w:endnote w:type="continuationNotice" w:id="1">
    <w:p w14:paraId="2F2CB108" w14:textId="77777777" w:rsidR="00D961B0" w:rsidRDefault="00D96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0F89B" w14:textId="77777777" w:rsidR="0002785B" w:rsidRDefault="001015A4" w:rsidP="00CC129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2785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D556A">
      <w:rPr>
        <w:rStyle w:val="a3"/>
        <w:noProof/>
      </w:rPr>
      <w:t>1</w:t>
    </w:r>
    <w:r>
      <w:rPr>
        <w:rStyle w:val="a3"/>
      </w:rPr>
      <w:fldChar w:fldCharType="end"/>
    </w:r>
  </w:p>
  <w:p w14:paraId="33BE08EF" w14:textId="77777777" w:rsidR="0002785B" w:rsidRDefault="0002785B" w:rsidP="00A91DAF">
    <w:pPr>
      <w:pStyle w:val="a4"/>
      <w:ind w:right="360"/>
      <w:jc w:val="center"/>
    </w:pPr>
    <w:r>
      <w:rPr>
        <w:rStyle w:val="a3"/>
      </w:rPr>
      <w:t xml:space="preserve">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2821" w14:textId="77777777" w:rsidR="00D961B0" w:rsidRDefault="00D961B0">
      <w:r>
        <w:separator/>
      </w:r>
    </w:p>
  </w:footnote>
  <w:footnote w:type="continuationSeparator" w:id="0">
    <w:p w14:paraId="5055E2FD" w14:textId="77777777" w:rsidR="00D961B0" w:rsidRDefault="00D961B0">
      <w:r>
        <w:continuationSeparator/>
      </w:r>
    </w:p>
  </w:footnote>
  <w:footnote w:type="continuationNotice" w:id="1">
    <w:p w14:paraId="2119864D" w14:textId="77777777" w:rsidR="00D961B0" w:rsidRDefault="00D961B0"/>
  </w:footnote>
  <w:footnote w:id="2">
    <w:p w14:paraId="236540D5" w14:textId="6FE1AF96" w:rsidR="0083499B" w:rsidRPr="0083499B" w:rsidRDefault="0083499B" w:rsidP="00C73246">
      <w:pPr>
        <w:pStyle w:val="af7"/>
        <w:jc w:val="both"/>
      </w:pPr>
      <w:r w:rsidRPr="0083499B">
        <w:rPr>
          <w:rStyle w:val="af9"/>
        </w:rPr>
        <w:footnoteRef/>
      </w:r>
      <w:r w:rsidRPr="0083499B">
        <w:t xml:space="preserve"> Федеральн</w:t>
      </w:r>
      <w:r>
        <w:t>ый</w:t>
      </w:r>
      <w:r w:rsidRPr="0083499B">
        <w:t xml:space="preserve"> закон от 13</w:t>
      </w:r>
      <w:r>
        <w:t>.07.</w:t>
      </w:r>
      <w:r w:rsidRPr="0083499B">
        <w:t xml:space="preserve">2015 </w:t>
      </w:r>
      <w:r>
        <w:t>№</w:t>
      </w:r>
      <w:r w:rsidRPr="0083499B">
        <w:t xml:space="preserve"> 223-ФЗ </w:t>
      </w:r>
      <w:r>
        <w:t>«</w:t>
      </w:r>
      <w:r w:rsidRPr="0083499B">
        <w:t>О саморегулируемых организациях в сфере финансового рынка</w:t>
      </w:r>
      <w:r>
        <w:t>»</w:t>
      </w:r>
    </w:p>
  </w:footnote>
  <w:footnote w:id="3">
    <w:p w14:paraId="639B3F1B" w14:textId="079CAEA5" w:rsidR="0031596E" w:rsidRDefault="0031596E" w:rsidP="00C73246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hyperlink r:id="rId1" w:history="1">
        <w:r w:rsidRPr="00CA1C61">
          <w:t>Указани</w:t>
        </w:r>
        <w:r>
          <w:t>е</w:t>
        </w:r>
      </w:hyperlink>
      <w:r w:rsidRPr="00CA1C61">
        <w:t xml:space="preserve"> Банка России от 26</w:t>
      </w:r>
      <w:r>
        <w:t>.10.</w:t>
      </w:r>
      <w:r w:rsidRPr="00CA1C61">
        <w:t xml:space="preserve">2017 </w:t>
      </w:r>
      <w:r>
        <w:t>№</w:t>
      </w:r>
      <w:r w:rsidRPr="00CA1C61">
        <w:t xml:space="preserve"> 4585-У </w:t>
      </w:r>
      <w:r>
        <w:t>«</w:t>
      </w:r>
      <w:r w:rsidRPr="00CA1C61">
        <w:t>О требованиях к содержанию базовых стандартов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брокеров, управляющих, депозитариев и регистраторов</w:t>
      </w:r>
      <w:r>
        <w:t>»</w:t>
      </w:r>
    </w:p>
  </w:footnote>
  <w:footnote w:id="4">
    <w:p w14:paraId="188161FA" w14:textId="5327C2FE" w:rsidR="0031596E" w:rsidRDefault="0031596E" w:rsidP="00C73246">
      <w:pPr>
        <w:pStyle w:val="af7"/>
        <w:jc w:val="both"/>
      </w:pPr>
      <w:r>
        <w:rPr>
          <w:rStyle w:val="af9"/>
        </w:rPr>
        <w:footnoteRef/>
      </w:r>
      <w:r>
        <w:t xml:space="preserve"> </w:t>
      </w:r>
      <w:r w:rsidRPr="00CA1C61">
        <w:rPr>
          <w:snapToGrid w:val="0"/>
          <w:color w:val="000000"/>
        </w:rPr>
        <w:t>Федеральн</w:t>
      </w:r>
      <w:r>
        <w:rPr>
          <w:snapToGrid w:val="0"/>
          <w:color w:val="000000"/>
        </w:rPr>
        <w:t>ый</w:t>
      </w:r>
      <w:r w:rsidRPr="00CA1C61">
        <w:rPr>
          <w:snapToGrid w:val="0"/>
          <w:color w:val="000000"/>
        </w:rPr>
        <w:t xml:space="preserve"> закон</w:t>
      </w:r>
      <w:r>
        <w:rPr>
          <w:snapToGrid w:val="0"/>
          <w:color w:val="000000"/>
        </w:rPr>
        <w:t xml:space="preserve"> </w:t>
      </w:r>
      <w:r w:rsidRPr="00CA1C61">
        <w:rPr>
          <w:snapToGrid w:val="0"/>
          <w:color w:val="000000"/>
        </w:rPr>
        <w:t xml:space="preserve">от </w:t>
      </w:r>
      <w:r>
        <w:rPr>
          <w:snapToGrid w:val="0"/>
          <w:color w:val="000000"/>
        </w:rPr>
        <w:t>0</w:t>
      </w:r>
      <w:r w:rsidRPr="00CA1C61">
        <w:rPr>
          <w:snapToGrid w:val="0"/>
          <w:color w:val="000000"/>
        </w:rPr>
        <w:t>5</w:t>
      </w:r>
      <w:r>
        <w:rPr>
          <w:snapToGrid w:val="0"/>
          <w:color w:val="000000"/>
        </w:rPr>
        <w:t>.03.</w:t>
      </w:r>
      <w:r w:rsidRPr="00CA1C61">
        <w:rPr>
          <w:snapToGrid w:val="0"/>
          <w:color w:val="000000"/>
        </w:rPr>
        <w:t>1999 № 46-ФЗ «О защите прав и законных интересов инвесторов на рынке ценных бумаг»</w:t>
      </w:r>
    </w:p>
  </w:footnote>
  <w:footnote w:id="5">
    <w:p w14:paraId="40B7EEA1" w14:textId="606F70AC" w:rsidR="00C1484E" w:rsidRDefault="00C1484E" w:rsidP="00C73246">
      <w:pPr>
        <w:pStyle w:val="af7"/>
        <w:jc w:val="both"/>
      </w:pPr>
      <w:r>
        <w:rPr>
          <w:rStyle w:val="af9"/>
        </w:rPr>
        <w:footnoteRef/>
      </w:r>
      <w:r>
        <w:t xml:space="preserve">* </w:t>
      </w:r>
      <w:r w:rsidRPr="003163B7">
        <w:t xml:space="preserve">далее по тексту </w:t>
      </w:r>
      <w:r w:rsidRPr="00CA1C61">
        <w:t>Порядка</w:t>
      </w:r>
      <w:r w:rsidRPr="003163B7">
        <w:t xml:space="preserve"> термины могут применяются как «Получатели финансовых услуг», так и «Клиент», </w:t>
      </w:r>
      <w:r w:rsidRPr="00CA1C61">
        <w:t>«</w:t>
      </w:r>
      <w:r w:rsidRPr="003163B7">
        <w:t>Потенциальный клиент», «Бывший клиент», «Наследники»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0A3C" w14:textId="77777777" w:rsidR="001D556A" w:rsidRDefault="001D55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C8A262"/>
    <w:lvl w:ilvl="0">
      <w:numFmt w:val="bullet"/>
      <w:lvlText w:val="*"/>
      <w:lvlJc w:val="left"/>
    </w:lvl>
  </w:abstractNum>
  <w:abstractNum w:abstractNumId="1" w15:restartNumberingAfterBreak="0">
    <w:nsid w:val="00DC2AD4"/>
    <w:multiLevelType w:val="hybridMultilevel"/>
    <w:tmpl w:val="82465A94"/>
    <w:lvl w:ilvl="0" w:tplc="AACC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731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FF53AC"/>
    <w:multiLevelType w:val="hybridMultilevel"/>
    <w:tmpl w:val="C4489326"/>
    <w:lvl w:ilvl="0" w:tplc="EA6489F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EC0047"/>
    <w:multiLevelType w:val="hybridMultilevel"/>
    <w:tmpl w:val="4A5AEEB0"/>
    <w:lvl w:ilvl="0" w:tplc="502C2E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D4E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AC405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FF73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5C4F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CB46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9E7C03"/>
    <w:multiLevelType w:val="hybridMultilevel"/>
    <w:tmpl w:val="01182D9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023CC4"/>
    <w:multiLevelType w:val="multilevel"/>
    <w:tmpl w:val="485AF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82D4448"/>
    <w:multiLevelType w:val="hybridMultilevel"/>
    <w:tmpl w:val="664874A8"/>
    <w:lvl w:ilvl="0" w:tplc="4B9C2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1766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E37D77"/>
    <w:multiLevelType w:val="hybridMultilevel"/>
    <w:tmpl w:val="79BA34BC"/>
    <w:lvl w:ilvl="0" w:tplc="8F763CB0">
      <w:start w:val="1"/>
      <w:numFmt w:val="decimal"/>
      <w:lvlText w:val="%1)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D256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212B68"/>
    <w:multiLevelType w:val="hybridMultilevel"/>
    <w:tmpl w:val="BB704A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1341"/>
    <w:multiLevelType w:val="hybridMultilevel"/>
    <w:tmpl w:val="438CE3C0"/>
    <w:lvl w:ilvl="0" w:tplc="F7D67628">
      <w:start w:val="2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4F1E6B9F"/>
    <w:multiLevelType w:val="multilevel"/>
    <w:tmpl w:val="25C45BD8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3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1365C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20" w15:restartNumberingAfterBreak="0">
    <w:nsid w:val="53A1164A"/>
    <w:multiLevelType w:val="hybridMultilevel"/>
    <w:tmpl w:val="7430E54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E837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36857C6"/>
    <w:multiLevelType w:val="hybridMultilevel"/>
    <w:tmpl w:val="7A34A1BA"/>
    <w:lvl w:ilvl="0" w:tplc="C71C020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5B82005"/>
    <w:multiLevelType w:val="hybridMultilevel"/>
    <w:tmpl w:val="74CE9EE8"/>
    <w:lvl w:ilvl="0" w:tplc="1A6CF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532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2F52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4F76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BB0992"/>
    <w:multiLevelType w:val="multilevel"/>
    <w:tmpl w:val="6DEC7B9C"/>
    <w:lvl w:ilvl="0">
      <w:start w:val="4"/>
      <w:numFmt w:val="decimal"/>
      <w:lvlText w:val="%1."/>
      <w:lvlJc w:val="left"/>
      <w:pPr>
        <w:tabs>
          <w:tab w:val="num" w:pos="993"/>
        </w:tabs>
        <w:ind w:left="993" w:hanging="360"/>
      </w:pPr>
      <w:rPr>
        <w:rFonts w:hint="default"/>
        <w:b/>
      </w:rPr>
    </w:lvl>
    <w:lvl w:ilvl="1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MS Mincho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6D1C19F8"/>
    <w:multiLevelType w:val="hybridMultilevel"/>
    <w:tmpl w:val="7D20A096"/>
    <w:lvl w:ilvl="0" w:tplc="AFEEE5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39C6671"/>
    <w:multiLevelType w:val="multilevel"/>
    <w:tmpl w:val="A676A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EF24D5E"/>
    <w:multiLevelType w:val="multilevel"/>
    <w:tmpl w:val="B2724DFC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76346057">
    <w:abstractNumId w:val="10"/>
  </w:num>
  <w:num w:numId="2" w16cid:durableId="826482423">
    <w:abstractNumId w:val="27"/>
  </w:num>
  <w:num w:numId="3" w16cid:durableId="56511578">
    <w:abstractNumId w:val="16"/>
  </w:num>
  <w:num w:numId="4" w16cid:durableId="1632861862">
    <w:abstractNumId w:val="20"/>
  </w:num>
  <w:num w:numId="5" w16cid:durableId="912424069">
    <w:abstractNumId w:val="7"/>
  </w:num>
  <w:num w:numId="6" w16cid:durableId="1383485215">
    <w:abstractNumId w:val="19"/>
  </w:num>
  <w:num w:numId="7" w16cid:durableId="1239366045">
    <w:abstractNumId w:val="25"/>
  </w:num>
  <w:num w:numId="8" w16cid:durableId="632173135">
    <w:abstractNumId w:val="26"/>
  </w:num>
  <w:num w:numId="9" w16cid:durableId="1834107878">
    <w:abstractNumId w:val="13"/>
  </w:num>
  <w:num w:numId="10" w16cid:durableId="1637954431">
    <w:abstractNumId w:val="21"/>
  </w:num>
  <w:num w:numId="11" w16cid:durableId="1647006690">
    <w:abstractNumId w:val="2"/>
  </w:num>
  <w:num w:numId="12" w16cid:durableId="1791171500">
    <w:abstractNumId w:val="8"/>
  </w:num>
  <w:num w:numId="13" w16cid:durableId="796606676">
    <w:abstractNumId w:val="5"/>
  </w:num>
  <w:num w:numId="14" w16cid:durableId="671177168">
    <w:abstractNumId w:val="24"/>
  </w:num>
  <w:num w:numId="15" w16cid:durableId="66272697">
    <w:abstractNumId w:val="15"/>
  </w:num>
  <w:num w:numId="16" w16cid:durableId="1674533543">
    <w:abstractNumId w:val="6"/>
  </w:num>
  <w:num w:numId="17" w16cid:durableId="628249054">
    <w:abstractNumId w:val="9"/>
  </w:num>
  <w:num w:numId="18" w16cid:durableId="101726072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19" w16cid:durableId="97453792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20" w16cid:durableId="113642630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1" w16cid:durableId="2079209852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2" w16cid:durableId="179339725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23" w16cid:durableId="30389614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4" w16cid:durableId="1243107380">
    <w:abstractNumId w:val="30"/>
  </w:num>
  <w:num w:numId="25" w16cid:durableId="1584413037">
    <w:abstractNumId w:val="18"/>
  </w:num>
  <w:num w:numId="26" w16cid:durableId="1022706080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27" w16cid:durableId="1329864937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28" w16cid:durableId="628587089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9" w16cid:durableId="406850004">
    <w:abstractNumId w:val="29"/>
  </w:num>
  <w:num w:numId="30" w16cid:durableId="1026323494">
    <w:abstractNumId w:val="12"/>
  </w:num>
  <w:num w:numId="31" w16cid:durableId="567229258">
    <w:abstractNumId w:val="11"/>
  </w:num>
  <w:num w:numId="32" w16cid:durableId="1083600625">
    <w:abstractNumId w:val="14"/>
  </w:num>
  <w:num w:numId="33" w16cid:durableId="672143026">
    <w:abstractNumId w:val="4"/>
  </w:num>
  <w:num w:numId="34" w16cid:durableId="430249013">
    <w:abstractNumId w:val="28"/>
  </w:num>
  <w:num w:numId="35" w16cid:durableId="2147383638">
    <w:abstractNumId w:val="3"/>
  </w:num>
  <w:num w:numId="36" w16cid:durableId="662244671">
    <w:abstractNumId w:val="22"/>
  </w:num>
  <w:num w:numId="37" w16cid:durableId="114176278">
    <w:abstractNumId w:val="17"/>
  </w:num>
  <w:num w:numId="38" w16cid:durableId="1113018816">
    <w:abstractNumId w:val="1"/>
  </w:num>
  <w:num w:numId="39" w16cid:durableId="2449223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9"/>
    <w:rsid w:val="00000E3F"/>
    <w:rsid w:val="00003C0F"/>
    <w:rsid w:val="00003DE6"/>
    <w:rsid w:val="00004D2A"/>
    <w:rsid w:val="00012292"/>
    <w:rsid w:val="0002785B"/>
    <w:rsid w:val="00033F04"/>
    <w:rsid w:val="00040CF1"/>
    <w:rsid w:val="000426E6"/>
    <w:rsid w:val="00050C4A"/>
    <w:rsid w:val="0005607E"/>
    <w:rsid w:val="000576FF"/>
    <w:rsid w:val="00065C49"/>
    <w:rsid w:val="000769A7"/>
    <w:rsid w:val="00081238"/>
    <w:rsid w:val="00081407"/>
    <w:rsid w:val="0009476A"/>
    <w:rsid w:val="00095B38"/>
    <w:rsid w:val="000A134B"/>
    <w:rsid w:val="000A22D8"/>
    <w:rsid w:val="000B2B5B"/>
    <w:rsid w:val="000B62AE"/>
    <w:rsid w:val="000D16B9"/>
    <w:rsid w:val="000D26D2"/>
    <w:rsid w:val="000D4AF1"/>
    <w:rsid w:val="000D5F26"/>
    <w:rsid w:val="000F6F66"/>
    <w:rsid w:val="001015A4"/>
    <w:rsid w:val="001258B5"/>
    <w:rsid w:val="001435E4"/>
    <w:rsid w:val="00162AD8"/>
    <w:rsid w:val="00166C03"/>
    <w:rsid w:val="00171D9C"/>
    <w:rsid w:val="001723EA"/>
    <w:rsid w:val="001945F0"/>
    <w:rsid w:val="00194B9C"/>
    <w:rsid w:val="001959B5"/>
    <w:rsid w:val="001A3A27"/>
    <w:rsid w:val="001A7AB8"/>
    <w:rsid w:val="001B202E"/>
    <w:rsid w:val="001B773F"/>
    <w:rsid w:val="001C403C"/>
    <w:rsid w:val="001D0617"/>
    <w:rsid w:val="001D29D2"/>
    <w:rsid w:val="001D3166"/>
    <w:rsid w:val="001D3BFF"/>
    <w:rsid w:val="001D4D17"/>
    <w:rsid w:val="001D556A"/>
    <w:rsid w:val="001E12F5"/>
    <w:rsid w:val="001E3BF4"/>
    <w:rsid w:val="001E6E3D"/>
    <w:rsid w:val="001F0C20"/>
    <w:rsid w:val="001F0CE5"/>
    <w:rsid w:val="001F572A"/>
    <w:rsid w:val="00201447"/>
    <w:rsid w:val="00214485"/>
    <w:rsid w:val="00223008"/>
    <w:rsid w:val="00225273"/>
    <w:rsid w:val="00227012"/>
    <w:rsid w:val="002363A0"/>
    <w:rsid w:val="002612D9"/>
    <w:rsid w:val="00261905"/>
    <w:rsid w:val="00265AFB"/>
    <w:rsid w:val="00271144"/>
    <w:rsid w:val="00272FE7"/>
    <w:rsid w:val="00274302"/>
    <w:rsid w:val="00285925"/>
    <w:rsid w:val="002A7C3F"/>
    <w:rsid w:val="002A7EBD"/>
    <w:rsid w:val="002B4974"/>
    <w:rsid w:val="002B7EB8"/>
    <w:rsid w:val="002C2FFF"/>
    <w:rsid w:val="002C3B42"/>
    <w:rsid w:val="002D328B"/>
    <w:rsid w:val="002E600A"/>
    <w:rsid w:val="002F1170"/>
    <w:rsid w:val="00300742"/>
    <w:rsid w:val="003025FA"/>
    <w:rsid w:val="00302AAE"/>
    <w:rsid w:val="00304AE0"/>
    <w:rsid w:val="0031278B"/>
    <w:rsid w:val="003130D0"/>
    <w:rsid w:val="0031596E"/>
    <w:rsid w:val="003163B7"/>
    <w:rsid w:val="00323749"/>
    <w:rsid w:val="00323F89"/>
    <w:rsid w:val="0032434F"/>
    <w:rsid w:val="00325333"/>
    <w:rsid w:val="00326747"/>
    <w:rsid w:val="00331D7A"/>
    <w:rsid w:val="003326D2"/>
    <w:rsid w:val="003342CB"/>
    <w:rsid w:val="00337AFB"/>
    <w:rsid w:val="0034181E"/>
    <w:rsid w:val="00345544"/>
    <w:rsid w:val="003518E3"/>
    <w:rsid w:val="00352D21"/>
    <w:rsid w:val="00354273"/>
    <w:rsid w:val="00360BBE"/>
    <w:rsid w:val="00375751"/>
    <w:rsid w:val="00375FA8"/>
    <w:rsid w:val="0038394C"/>
    <w:rsid w:val="00384B3F"/>
    <w:rsid w:val="003878DF"/>
    <w:rsid w:val="00387A2F"/>
    <w:rsid w:val="0039057F"/>
    <w:rsid w:val="00395B75"/>
    <w:rsid w:val="003A1F6E"/>
    <w:rsid w:val="003A2224"/>
    <w:rsid w:val="003A2DB8"/>
    <w:rsid w:val="003A6CDC"/>
    <w:rsid w:val="003B267F"/>
    <w:rsid w:val="003C30EA"/>
    <w:rsid w:val="003C6EF6"/>
    <w:rsid w:val="003D45DB"/>
    <w:rsid w:val="003D493A"/>
    <w:rsid w:val="003F1D26"/>
    <w:rsid w:val="003F2EC1"/>
    <w:rsid w:val="00401C21"/>
    <w:rsid w:val="0040524A"/>
    <w:rsid w:val="004146D2"/>
    <w:rsid w:val="00416B60"/>
    <w:rsid w:val="0042294B"/>
    <w:rsid w:val="00437876"/>
    <w:rsid w:val="004444CD"/>
    <w:rsid w:val="004526B6"/>
    <w:rsid w:val="00466924"/>
    <w:rsid w:val="00467E80"/>
    <w:rsid w:val="0047604F"/>
    <w:rsid w:val="00492460"/>
    <w:rsid w:val="00497E69"/>
    <w:rsid w:val="004A2AD8"/>
    <w:rsid w:val="004A3989"/>
    <w:rsid w:val="004B21D5"/>
    <w:rsid w:val="004B6ACE"/>
    <w:rsid w:val="004C3F14"/>
    <w:rsid w:val="004C4290"/>
    <w:rsid w:val="004C5266"/>
    <w:rsid w:val="004C5B9D"/>
    <w:rsid w:val="004D4942"/>
    <w:rsid w:val="004D7A23"/>
    <w:rsid w:val="004E6C12"/>
    <w:rsid w:val="004F1557"/>
    <w:rsid w:val="004F624B"/>
    <w:rsid w:val="004F7D50"/>
    <w:rsid w:val="00524FCC"/>
    <w:rsid w:val="00527B5F"/>
    <w:rsid w:val="00531189"/>
    <w:rsid w:val="005320BA"/>
    <w:rsid w:val="005410D0"/>
    <w:rsid w:val="0054166C"/>
    <w:rsid w:val="0054341A"/>
    <w:rsid w:val="00545B7D"/>
    <w:rsid w:val="00546C21"/>
    <w:rsid w:val="005479C5"/>
    <w:rsid w:val="005513AA"/>
    <w:rsid w:val="00585C12"/>
    <w:rsid w:val="005941B4"/>
    <w:rsid w:val="005A014C"/>
    <w:rsid w:val="005B6E7D"/>
    <w:rsid w:val="005C473C"/>
    <w:rsid w:val="005C768C"/>
    <w:rsid w:val="005C7DC6"/>
    <w:rsid w:val="005E14A7"/>
    <w:rsid w:val="005E2417"/>
    <w:rsid w:val="005F2E2F"/>
    <w:rsid w:val="005F33A3"/>
    <w:rsid w:val="00602C92"/>
    <w:rsid w:val="00607D34"/>
    <w:rsid w:val="00611B73"/>
    <w:rsid w:val="0062319C"/>
    <w:rsid w:val="0062330E"/>
    <w:rsid w:val="00624307"/>
    <w:rsid w:val="00643F36"/>
    <w:rsid w:val="006450C3"/>
    <w:rsid w:val="00652A9C"/>
    <w:rsid w:val="006601D7"/>
    <w:rsid w:val="00661FF3"/>
    <w:rsid w:val="00667149"/>
    <w:rsid w:val="00677035"/>
    <w:rsid w:val="00681019"/>
    <w:rsid w:val="00684A1F"/>
    <w:rsid w:val="00684EAA"/>
    <w:rsid w:val="00684F9A"/>
    <w:rsid w:val="00687202"/>
    <w:rsid w:val="00693243"/>
    <w:rsid w:val="006939CA"/>
    <w:rsid w:val="006A6D57"/>
    <w:rsid w:val="006A7A4A"/>
    <w:rsid w:val="006B054D"/>
    <w:rsid w:val="006B20DD"/>
    <w:rsid w:val="006B29D5"/>
    <w:rsid w:val="006B4B18"/>
    <w:rsid w:val="006B66F5"/>
    <w:rsid w:val="006C4FF4"/>
    <w:rsid w:val="006E54A0"/>
    <w:rsid w:val="00706931"/>
    <w:rsid w:val="00711F54"/>
    <w:rsid w:val="007244B8"/>
    <w:rsid w:val="00741E7D"/>
    <w:rsid w:val="00744C98"/>
    <w:rsid w:val="007474CF"/>
    <w:rsid w:val="00751D82"/>
    <w:rsid w:val="007544B1"/>
    <w:rsid w:val="00756554"/>
    <w:rsid w:val="00757996"/>
    <w:rsid w:val="0077451B"/>
    <w:rsid w:val="0077473C"/>
    <w:rsid w:val="0078037E"/>
    <w:rsid w:val="00795F3B"/>
    <w:rsid w:val="007B1F41"/>
    <w:rsid w:val="007B4BD3"/>
    <w:rsid w:val="007B5C46"/>
    <w:rsid w:val="007B6712"/>
    <w:rsid w:val="007B74AC"/>
    <w:rsid w:val="007C48A9"/>
    <w:rsid w:val="007D09DA"/>
    <w:rsid w:val="007E57FB"/>
    <w:rsid w:val="007E5A06"/>
    <w:rsid w:val="007F0628"/>
    <w:rsid w:val="00802BB4"/>
    <w:rsid w:val="00813473"/>
    <w:rsid w:val="00815FF1"/>
    <w:rsid w:val="008213CB"/>
    <w:rsid w:val="008304FD"/>
    <w:rsid w:val="0083480F"/>
    <w:rsid w:val="0083499B"/>
    <w:rsid w:val="00842BC4"/>
    <w:rsid w:val="008451B3"/>
    <w:rsid w:val="00845DA6"/>
    <w:rsid w:val="008507B8"/>
    <w:rsid w:val="0085476A"/>
    <w:rsid w:val="00855E2F"/>
    <w:rsid w:val="00860205"/>
    <w:rsid w:val="008637FD"/>
    <w:rsid w:val="0086462A"/>
    <w:rsid w:val="00882A0B"/>
    <w:rsid w:val="0088492A"/>
    <w:rsid w:val="00892867"/>
    <w:rsid w:val="008929F8"/>
    <w:rsid w:val="008A01EE"/>
    <w:rsid w:val="008A07C1"/>
    <w:rsid w:val="008A795B"/>
    <w:rsid w:val="008B5AF1"/>
    <w:rsid w:val="008B681F"/>
    <w:rsid w:val="008B701A"/>
    <w:rsid w:val="008C2D97"/>
    <w:rsid w:val="008D5445"/>
    <w:rsid w:val="008F0006"/>
    <w:rsid w:val="008F78BF"/>
    <w:rsid w:val="009042ED"/>
    <w:rsid w:val="00911027"/>
    <w:rsid w:val="00911A8A"/>
    <w:rsid w:val="00913CFA"/>
    <w:rsid w:val="009231D8"/>
    <w:rsid w:val="00925E8F"/>
    <w:rsid w:val="0093294D"/>
    <w:rsid w:val="00935955"/>
    <w:rsid w:val="009421D7"/>
    <w:rsid w:val="0094366A"/>
    <w:rsid w:val="00944F80"/>
    <w:rsid w:val="00953CB4"/>
    <w:rsid w:val="00960065"/>
    <w:rsid w:val="00960299"/>
    <w:rsid w:val="009618C6"/>
    <w:rsid w:val="009642AC"/>
    <w:rsid w:val="00985461"/>
    <w:rsid w:val="00985F68"/>
    <w:rsid w:val="0099373C"/>
    <w:rsid w:val="009A0218"/>
    <w:rsid w:val="009A1C47"/>
    <w:rsid w:val="009B3EEA"/>
    <w:rsid w:val="009B4D6A"/>
    <w:rsid w:val="009E21B8"/>
    <w:rsid w:val="009E3F40"/>
    <w:rsid w:val="009F0960"/>
    <w:rsid w:val="009F57DF"/>
    <w:rsid w:val="009F67B5"/>
    <w:rsid w:val="009F6F78"/>
    <w:rsid w:val="00A03A65"/>
    <w:rsid w:val="00A0666D"/>
    <w:rsid w:val="00A06C9B"/>
    <w:rsid w:val="00A252D8"/>
    <w:rsid w:val="00A32C4D"/>
    <w:rsid w:val="00A340C6"/>
    <w:rsid w:val="00A34D2A"/>
    <w:rsid w:val="00A3676F"/>
    <w:rsid w:val="00A40A37"/>
    <w:rsid w:val="00A6442B"/>
    <w:rsid w:val="00A706AE"/>
    <w:rsid w:val="00A83819"/>
    <w:rsid w:val="00A856CB"/>
    <w:rsid w:val="00A91DAF"/>
    <w:rsid w:val="00AA478E"/>
    <w:rsid w:val="00AA6F71"/>
    <w:rsid w:val="00AB07D9"/>
    <w:rsid w:val="00AB0D24"/>
    <w:rsid w:val="00AD73CE"/>
    <w:rsid w:val="00AE0228"/>
    <w:rsid w:val="00AE04A2"/>
    <w:rsid w:val="00AE3387"/>
    <w:rsid w:val="00AF00C7"/>
    <w:rsid w:val="00AF6BCE"/>
    <w:rsid w:val="00AF7878"/>
    <w:rsid w:val="00B04FD7"/>
    <w:rsid w:val="00B46752"/>
    <w:rsid w:val="00B62177"/>
    <w:rsid w:val="00B62852"/>
    <w:rsid w:val="00B72001"/>
    <w:rsid w:val="00B73F99"/>
    <w:rsid w:val="00B82BC8"/>
    <w:rsid w:val="00B92A7C"/>
    <w:rsid w:val="00BA30B9"/>
    <w:rsid w:val="00BB13E5"/>
    <w:rsid w:val="00BC1F81"/>
    <w:rsid w:val="00BC20FE"/>
    <w:rsid w:val="00BC5C83"/>
    <w:rsid w:val="00BC6D88"/>
    <w:rsid w:val="00BC7680"/>
    <w:rsid w:val="00BC793E"/>
    <w:rsid w:val="00BC7CCD"/>
    <w:rsid w:val="00BD4CA7"/>
    <w:rsid w:val="00BE0663"/>
    <w:rsid w:val="00BE3DB3"/>
    <w:rsid w:val="00BF2576"/>
    <w:rsid w:val="00BF5E67"/>
    <w:rsid w:val="00BF5E6A"/>
    <w:rsid w:val="00C0269F"/>
    <w:rsid w:val="00C1484E"/>
    <w:rsid w:val="00C31DB6"/>
    <w:rsid w:val="00C35295"/>
    <w:rsid w:val="00C40D72"/>
    <w:rsid w:val="00C440FF"/>
    <w:rsid w:val="00C44276"/>
    <w:rsid w:val="00C46D4E"/>
    <w:rsid w:val="00C5081C"/>
    <w:rsid w:val="00C514C0"/>
    <w:rsid w:val="00C52181"/>
    <w:rsid w:val="00C5573D"/>
    <w:rsid w:val="00C60464"/>
    <w:rsid w:val="00C60469"/>
    <w:rsid w:val="00C60CE5"/>
    <w:rsid w:val="00C73246"/>
    <w:rsid w:val="00C75565"/>
    <w:rsid w:val="00C8098B"/>
    <w:rsid w:val="00C81586"/>
    <w:rsid w:val="00C91E5E"/>
    <w:rsid w:val="00C93FD3"/>
    <w:rsid w:val="00C9444E"/>
    <w:rsid w:val="00CA1C61"/>
    <w:rsid w:val="00CA5892"/>
    <w:rsid w:val="00CA64A0"/>
    <w:rsid w:val="00CB2226"/>
    <w:rsid w:val="00CB263D"/>
    <w:rsid w:val="00CB2A13"/>
    <w:rsid w:val="00CB320C"/>
    <w:rsid w:val="00CB787C"/>
    <w:rsid w:val="00CC129C"/>
    <w:rsid w:val="00CC2160"/>
    <w:rsid w:val="00CC3BA7"/>
    <w:rsid w:val="00CC781A"/>
    <w:rsid w:val="00CD171B"/>
    <w:rsid w:val="00CD203D"/>
    <w:rsid w:val="00CD6F3B"/>
    <w:rsid w:val="00CE26A5"/>
    <w:rsid w:val="00CF3263"/>
    <w:rsid w:val="00D02452"/>
    <w:rsid w:val="00D03A61"/>
    <w:rsid w:val="00D2154C"/>
    <w:rsid w:val="00D21868"/>
    <w:rsid w:val="00D22DD4"/>
    <w:rsid w:val="00D24F27"/>
    <w:rsid w:val="00D3109A"/>
    <w:rsid w:val="00D32EF1"/>
    <w:rsid w:val="00D36521"/>
    <w:rsid w:val="00D42725"/>
    <w:rsid w:val="00D432D2"/>
    <w:rsid w:val="00D523A1"/>
    <w:rsid w:val="00D548AA"/>
    <w:rsid w:val="00D63F11"/>
    <w:rsid w:val="00D63F1A"/>
    <w:rsid w:val="00D70390"/>
    <w:rsid w:val="00D75863"/>
    <w:rsid w:val="00D8421F"/>
    <w:rsid w:val="00D86A7B"/>
    <w:rsid w:val="00D920DE"/>
    <w:rsid w:val="00D9411E"/>
    <w:rsid w:val="00D961B0"/>
    <w:rsid w:val="00DA1698"/>
    <w:rsid w:val="00DA1EB6"/>
    <w:rsid w:val="00DA206C"/>
    <w:rsid w:val="00DC0CC5"/>
    <w:rsid w:val="00DC0D08"/>
    <w:rsid w:val="00DC1083"/>
    <w:rsid w:val="00DE4176"/>
    <w:rsid w:val="00DF1728"/>
    <w:rsid w:val="00DF65C8"/>
    <w:rsid w:val="00E1703D"/>
    <w:rsid w:val="00E33CF1"/>
    <w:rsid w:val="00E34440"/>
    <w:rsid w:val="00E35C16"/>
    <w:rsid w:val="00E367A5"/>
    <w:rsid w:val="00E36FEE"/>
    <w:rsid w:val="00E557DA"/>
    <w:rsid w:val="00E575D2"/>
    <w:rsid w:val="00E75878"/>
    <w:rsid w:val="00E8213F"/>
    <w:rsid w:val="00E833EA"/>
    <w:rsid w:val="00E90E75"/>
    <w:rsid w:val="00E95E51"/>
    <w:rsid w:val="00EA0FC6"/>
    <w:rsid w:val="00EA1EB1"/>
    <w:rsid w:val="00EA65D8"/>
    <w:rsid w:val="00EB3B6E"/>
    <w:rsid w:val="00ED772D"/>
    <w:rsid w:val="00EE639C"/>
    <w:rsid w:val="00EF24A4"/>
    <w:rsid w:val="00F02483"/>
    <w:rsid w:val="00F0744D"/>
    <w:rsid w:val="00F11978"/>
    <w:rsid w:val="00F14F26"/>
    <w:rsid w:val="00F165F6"/>
    <w:rsid w:val="00F23BD7"/>
    <w:rsid w:val="00F24919"/>
    <w:rsid w:val="00F31C54"/>
    <w:rsid w:val="00F428FF"/>
    <w:rsid w:val="00F43943"/>
    <w:rsid w:val="00F43B55"/>
    <w:rsid w:val="00F45202"/>
    <w:rsid w:val="00F45B4D"/>
    <w:rsid w:val="00F50D4E"/>
    <w:rsid w:val="00F63026"/>
    <w:rsid w:val="00F643CB"/>
    <w:rsid w:val="00F66996"/>
    <w:rsid w:val="00F77390"/>
    <w:rsid w:val="00F87057"/>
    <w:rsid w:val="00F9187E"/>
    <w:rsid w:val="00FA59EB"/>
    <w:rsid w:val="00FD20EE"/>
    <w:rsid w:val="00FD32A7"/>
    <w:rsid w:val="00FE6670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CE3C4B"/>
  <w15:docId w15:val="{11F8EFBF-6D0B-443A-AD41-EC0E0A93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751"/>
    <w:rPr>
      <w:sz w:val="24"/>
      <w:szCs w:val="24"/>
    </w:rPr>
  </w:style>
  <w:style w:type="paragraph" w:styleId="1">
    <w:name w:val="heading 1"/>
    <w:basedOn w:val="a"/>
    <w:next w:val="2"/>
    <w:qFormat/>
    <w:rsid w:val="00375751"/>
    <w:pPr>
      <w:spacing w:before="240"/>
      <w:ind w:firstLine="709"/>
      <w:outlineLvl w:val="0"/>
    </w:pPr>
    <w:rPr>
      <w:b/>
      <w:sz w:val="28"/>
      <w:szCs w:val="20"/>
      <w:lang w:val="en-GB"/>
    </w:rPr>
  </w:style>
  <w:style w:type="paragraph" w:styleId="2">
    <w:name w:val="heading 2"/>
    <w:basedOn w:val="a"/>
    <w:next w:val="a"/>
    <w:qFormat/>
    <w:rsid w:val="003757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C21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C21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75751"/>
    <w:pPr>
      <w:keepNext/>
      <w:jc w:val="right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75751"/>
  </w:style>
  <w:style w:type="paragraph" w:styleId="a4">
    <w:name w:val="footer"/>
    <w:basedOn w:val="a"/>
    <w:link w:val="a5"/>
    <w:uiPriority w:val="99"/>
    <w:rsid w:val="00375751"/>
    <w:pPr>
      <w:tabs>
        <w:tab w:val="center" w:pos="4536"/>
        <w:tab w:val="right" w:pos="9072"/>
      </w:tabs>
      <w:ind w:firstLine="709"/>
    </w:pPr>
    <w:rPr>
      <w:sz w:val="20"/>
      <w:szCs w:val="20"/>
    </w:rPr>
  </w:style>
  <w:style w:type="paragraph" w:styleId="a6">
    <w:name w:val="header"/>
    <w:basedOn w:val="a"/>
    <w:rsid w:val="0037575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rsid w:val="00375751"/>
    <w:pPr>
      <w:jc w:val="both"/>
    </w:pPr>
    <w:rPr>
      <w:szCs w:val="20"/>
    </w:rPr>
  </w:style>
  <w:style w:type="paragraph" w:styleId="a7">
    <w:name w:val="Body Text"/>
    <w:basedOn w:val="a"/>
    <w:rsid w:val="00375751"/>
    <w:pPr>
      <w:jc w:val="center"/>
    </w:pPr>
    <w:rPr>
      <w:b/>
      <w:bCs/>
      <w:sz w:val="28"/>
    </w:rPr>
  </w:style>
  <w:style w:type="paragraph" w:styleId="a8">
    <w:name w:val="Body Text Indent"/>
    <w:basedOn w:val="a"/>
    <w:rsid w:val="00375751"/>
    <w:pPr>
      <w:spacing w:line="260" w:lineRule="auto"/>
      <w:ind w:firstLine="708"/>
      <w:jc w:val="both"/>
    </w:pPr>
  </w:style>
  <w:style w:type="paragraph" w:styleId="21">
    <w:name w:val="Body Text Indent 2"/>
    <w:basedOn w:val="a"/>
    <w:rsid w:val="00375751"/>
    <w:pPr>
      <w:spacing w:line="260" w:lineRule="auto"/>
      <w:ind w:left="1134"/>
      <w:jc w:val="both"/>
    </w:pPr>
  </w:style>
  <w:style w:type="paragraph" w:customStyle="1" w:styleId="text">
    <w:name w:val="text"/>
    <w:basedOn w:val="a"/>
    <w:rsid w:val="00375751"/>
    <w:pPr>
      <w:ind w:firstLine="709"/>
      <w:jc w:val="both"/>
    </w:pPr>
    <w:rPr>
      <w:szCs w:val="20"/>
      <w:lang w:val="en-GB"/>
    </w:rPr>
  </w:style>
  <w:style w:type="paragraph" w:styleId="a9">
    <w:name w:val="Normal (Web)"/>
    <w:basedOn w:val="a"/>
    <w:rsid w:val="00375751"/>
    <w:pPr>
      <w:spacing w:before="100" w:beforeAutospacing="1" w:after="100" w:afterAutospacing="1"/>
    </w:pPr>
    <w:rPr>
      <w:color w:val="000000"/>
    </w:rPr>
  </w:style>
  <w:style w:type="paragraph" w:styleId="aa">
    <w:name w:val="Balloon Text"/>
    <w:basedOn w:val="a"/>
    <w:semiHidden/>
    <w:rsid w:val="0054166C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CC2160"/>
    <w:pPr>
      <w:spacing w:after="120"/>
    </w:pPr>
    <w:rPr>
      <w:sz w:val="16"/>
      <w:szCs w:val="16"/>
    </w:rPr>
  </w:style>
  <w:style w:type="paragraph" w:styleId="30">
    <w:name w:val="Body Text Indent 3"/>
    <w:basedOn w:val="a"/>
    <w:rsid w:val="00CC2160"/>
    <w:pPr>
      <w:spacing w:after="120"/>
      <w:ind w:left="283"/>
    </w:pPr>
    <w:rPr>
      <w:sz w:val="16"/>
      <w:szCs w:val="16"/>
    </w:rPr>
  </w:style>
  <w:style w:type="paragraph" w:styleId="ab">
    <w:name w:val="Plain Text"/>
    <w:basedOn w:val="a"/>
    <w:rsid w:val="00CC2160"/>
    <w:rPr>
      <w:rFonts w:ascii="Courier New" w:hAnsi="Courier New"/>
      <w:sz w:val="20"/>
      <w:szCs w:val="20"/>
    </w:rPr>
  </w:style>
  <w:style w:type="character" w:styleId="ac">
    <w:name w:val="Hyperlink"/>
    <w:rsid w:val="00CC2160"/>
    <w:rPr>
      <w:color w:val="0000FF"/>
      <w:u w:val="single"/>
    </w:rPr>
  </w:style>
  <w:style w:type="paragraph" w:styleId="ad">
    <w:name w:val="Normal Indent"/>
    <w:basedOn w:val="a"/>
    <w:link w:val="ae"/>
    <w:rsid w:val="00323F89"/>
    <w:pPr>
      <w:spacing w:before="120"/>
      <w:ind w:firstLine="720"/>
      <w:jc w:val="both"/>
    </w:pPr>
    <w:rPr>
      <w:rFonts w:ascii="Courier New" w:hAnsi="Courier New"/>
    </w:rPr>
  </w:style>
  <w:style w:type="character" w:customStyle="1" w:styleId="ae">
    <w:name w:val="Обычный отступ Знак"/>
    <w:link w:val="ad"/>
    <w:rsid w:val="00323F89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">
    <w:name w:val="ConsNonformat"/>
    <w:rsid w:val="00E833EA"/>
    <w:pPr>
      <w:widowControl w:val="0"/>
    </w:pPr>
    <w:rPr>
      <w:rFonts w:ascii="Courier New" w:hAnsi="Courier New"/>
      <w:snapToGrid w:val="0"/>
    </w:rPr>
  </w:style>
  <w:style w:type="paragraph" w:customStyle="1" w:styleId="Style2">
    <w:name w:val="Style2"/>
    <w:basedOn w:val="a"/>
    <w:rsid w:val="00223008"/>
    <w:pPr>
      <w:widowControl w:val="0"/>
      <w:autoSpaceDE w:val="0"/>
      <w:autoSpaceDN w:val="0"/>
      <w:adjustRightInd w:val="0"/>
      <w:spacing w:line="278" w:lineRule="exact"/>
      <w:jc w:val="right"/>
    </w:pPr>
  </w:style>
  <w:style w:type="paragraph" w:customStyle="1" w:styleId="Style4">
    <w:name w:val="Style4"/>
    <w:basedOn w:val="a"/>
    <w:rsid w:val="00223008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rsid w:val="00223008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223008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customStyle="1" w:styleId="Style17">
    <w:name w:val="Style17"/>
    <w:basedOn w:val="a"/>
    <w:rsid w:val="00223008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customStyle="1" w:styleId="Style18">
    <w:name w:val="Style18"/>
    <w:basedOn w:val="a"/>
    <w:rsid w:val="00223008"/>
    <w:pPr>
      <w:widowControl w:val="0"/>
      <w:autoSpaceDE w:val="0"/>
      <w:autoSpaceDN w:val="0"/>
      <w:adjustRightInd w:val="0"/>
      <w:spacing w:line="278" w:lineRule="exact"/>
      <w:ind w:firstLine="254"/>
    </w:pPr>
  </w:style>
  <w:style w:type="character" w:customStyle="1" w:styleId="FontStyle24">
    <w:name w:val="Font Style24"/>
    <w:rsid w:val="00223008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223008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22300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rsid w:val="008637FD"/>
    <w:pPr>
      <w:widowControl w:val="0"/>
      <w:autoSpaceDE w:val="0"/>
      <w:autoSpaceDN w:val="0"/>
      <w:adjustRightInd w:val="0"/>
      <w:spacing w:line="278" w:lineRule="exact"/>
      <w:ind w:firstLine="552"/>
      <w:jc w:val="both"/>
    </w:pPr>
  </w:style>
  <w:style w:type="paragraph" w:customStyle="1" w:styleId="Style10">
    <w:name w:val="Style10"/>
    <w:basedOn w:val="a"/>
    <w:rsid w:val="00693243"/>
    <w:pPr>
      <w:widowControl w:val="0"/>
      <w:autoSpaceDE w:val="0"/>
      <w:autoSpaceDN w:val="0"/>
      <w:adjustRightInd w:val="0"/>
      <w:spacing w:line="276" w:lineRule="exact"/>
      <w:ind w:firstLine="557"/>
      <w:jc w:val="both"/>
    </w:pPr>
  </w:style>
  <w:style w:type="paragraph" w:customStyle="1" w:styleId="Style11">
    <w:name w:val="Style11"/>
    <w:basedOn w:val="a"/>
    <w:rsid w:val="003A1F6E"/>
    <w:pPr>
      <w:widowControl w:val="0"/>
      <w:autoSpaceDE w:val="0"/>
      <w:autoSpaceDN w:val="0"/>
      <w:adjustRightInd w:val="0"/>
      <w:spacing w:line="274" w:lineRule="exact"/>
      <w:ind w:firstLine="629"/>
      <w:jc w:val="both"/>
    </w:pPr>
  </w:style>
  <w:style w:type="character" w:styleId="af">
    <w:name w:val="annotation reference"/>
    <w:rsid w:val="00E33CF1"/>
    <w:rPr>
      <w:sz w:val="16"/>
      <w:szCs w:val="16"/>
    </w:rPr>
  </w:style>
  <w:style w:type="paragraph" w:styleId="af0">
    <w:name w:val="annotation text"/>
    <w:basedOn w:val="a"/>
    <w:link w:val="af1"/>
    <w:rsid w:val="00E33CF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E33CF1"/>
  </w:style>
  <w:style w:type="paragraph" w:styleId="af2">
    <w:name w:val="annotation subject"/>
    <w:basedOn w:val="af0"/>
    <w:next w:val="af0"/>
    <w:link w:val="af3"/>
    <w:rsid w:val="00E33CF1"/>
    <w:rPr>
      <w:b/>
      <w:bCs/>
    </w:rPr>
  </w:style>
  <w:style w:type="character" w:customStyle="1" w:styleId="af3">
    <w:name w:val="Тема примечания Знак"/>
    <w:link w:val="af2"/>
    <w:rsid w:val="00E33CF1"/>
    <w:rPr>
      <w:b/>
      <w:bCs/>
    </w:rPr>
  </w:style>
  <w:style w:type="paragraph" w:styleId="af4">
    <w:name w:val="List Paragraph"/>
    <w:basedOn w:val="a"/>
    <w:uiPriority w:val="34"/>
    <w:qFormat/>
    <w:rsid w:val="00000E3F"/>
    <w:pPr>
      <w:ind w:left="708"/>
    </w:pPr>
  </w:style>
  <w:style w:type="table" w:styleId="af5">
    <w:name w:val="Table Grid"/>
    <w:basedOn w:val="a1"/>
    <w:rsid w:val="001E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1723EA"/>
  </w:style>
  <w:style w:type="paragraph" w:customStyle="1" w:styleId="ConsPlusTitle">
    <w:name w:val="ConsPlusTitle"/>
    <w:rsid w:val="00602C9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0">
    <w:name w:val="Сетка таблицы1"/>
    <w:basedOn w:val="a1"/>
    <w:next w:val="af5"/>
    <w:uiPriority w:val="39"/>
    <w:rsid w:val="00EB3B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E34440"/>
    <w:rPr>
      <w:sz w:val="24"/>
      <w:szCs w:val="24"/>
    </w:rPr>
  </w:style>
  <w:style w:type="paragraph" w:styleId="af7">
    <w:name w:val="footnote text"/>
    <w:basedOn w:val="a"/>
    <w:link w:val="af8"/>
    <w:semiHidden/>
    <w:unhideWhenUsed/>
    <w:rsid w:val="001D556A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1D556A"/>
  </w:style>
  <w:style w:type="character" w:styleId="af9">
    <w:name w:val="footnote reference"/>
    <w:basedOn w:val="a0"/>
    <w:semiHidden/>
    <w:unhideWhenUsed/>
    <w:rsid w:val="001D55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itimeban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01953C4FB726836C9AAFC828A4245772AE37DE12D721D682A42338961DFA5D294A9BA1CA9C2FD9473C0CBB693700935B223D215BCDFD6B7E3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01953C4FB726836C9AAFC828A4245772AF3CD91DD621D682A42338961DFA5D294A9BA1CA9C2FD1443C0CBB693700935B223D215BCDFD6B7E31M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0C01953C4FB726836C9AAFC828A4245772AE37DE12D721D682A42338961DFA5D294A9BA1CA9C2FD9473C0CBB693700935B223D215BCDFD6B7E3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7905A-C41F-4CA4-AFF4-8551CF9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3251</Words>
  <Characters>18531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ООО "КБ "МЕЖТРАСТБАНК"</Company>
  <LinksUpToDate>false</LinksUpToDate>
  <CharactersWithSpaces>21739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Пашин Владимир Юрьевич</dc:creator>
  <cp:lastModifiedBy>Зенцова Наталья Александровна</cp:lastModifiedBy>
  <cp:revision>2</cp:revision>
  <cp:lastPrinted>2015-05-18T14:25:00Z</cp:lastPrinted>
  <dcterms:created xsi:type="dcterms:W3CDTF">2022-08-30T09:34:00Z</dcterms:created>
  <dcterms:modified xsi:type="dcterms:W3CDTF">2022-08-30T09:34:00Z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{BD7A19B8-C012-4813-9F00-DDE0EA761178}</vt:lpwstr>
  </property>
</Properties>
</file>